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spacing w:line="578" w:lineRule="exact"/>
        <w:jc w:val="left"/>
        <w:rPr>
          <w:rFonts w:hint="default" w:ascii="Times New Roman" w:hAnsi="Times New Roman" w:eastAsia="方正黑体_GBK" w:cs="Times New Roman"/>
          <w:color w:val="000000"/>
          <w:kern w:val="0"/>
          <w:sz w:val="22"/>
          <w:szCs w:val="22"/>
        </w:rPr>
      </w:pPr>
      <w:r>
        <w:rPr>
          <w:rFonts w:hint="default" w:ascii="Times New Roman" w:hAnsi="Times New Roman" w:eastAsia="方正黑体_GBK" w:cs="Times New Roman"/>
          <w:sz w:val="32"/>
          <w:szCs w:val="32"/>
        </w:rPr>
        <w:t>附件</w:t>
      </w:r>
    </w:p>
    <w:p>
      <w:pPr>
        <w:keepNext w:val="0"/>
        <w:keepLines w:val="0"/>
        <w:pageBreakBefore w:val="0"/>
        <w:kinsoku/>
        <w:wordWrap w:val="0"/>
        <w:overflowPunct/>
        <w:topLinePunct w:val="0"/>
        <w:autoSpaceDE/>
        <w:autoSpaceDN/>
        <w:bidi w:val="0"/>
        <w:spacing w:line="578" w:lineRule="exact"/>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2022年省级财政现代农业发展工程共同财政事权转移支付资金</w:t>
      </w:r>
      <w:r>
        <w:rPr>
          <w:rFonts w:hint="eastAsia" w:eastAsia="方正小标宋_GBK" w:cs="Times New Roman"/>
          <w:sz w:val="36"/>
          <w:szCs w:val="36"/>
          <w:lang w:val="en-US" w:eastAsia="zh-CN"/>
        </w:rPr>
        <w:t>安排情况公告</w:t>
      </w:r>
      <w:r>
        <w:rPr>
          <w:rFonts w:hint="default" w:ascii="Times New Roman" w:hAnsi="Times New Roman" w:eastAsia="方正小标宋_GBK" w:cs="Times New Roman"/>
          <w:sz w:val="36"/>
          <w:szCs w:val="36"/>
          <w:lang w:val="en-US" w:eastAsia="zh-CN"/>
        </w:rPr>
        <w:t>表</w:t>
      </w:r>
    </w:p>
    <w:p>
      <w:pPr>
        <w:keepNext w:val="0"/>
        <w:keepLines w:val="0"/>
        <w:pageBreakBefore w:val="0"/>
        <w:widowControl w:val="0"/>
        <w:kinsoku/>
        <w:wordWrap w:val="0"/>
        <w:overflowPunct/>
        <w:topLinePunct w:val="0"/>
        <w:autoSpaceDE/>
        <w:autoSpaceDN/>
        <w:bidi w:val="0"/>
        <w:adjustRightInd/>
        <w:snapToGrid/>
        <w:spacing w:line="578" w:lineRule="exact"/>
        <w:jc w:val="right"/>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 xml:space="preserve">单位：万元 </w:t>
      </w:r>
    </w:p>
    <w:tbl>
      <w:tblPr>
        <w:tblStyle w:val="9"/>
        <w:tblW w:w="146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6"/>
        <w:gridCol w:w="1134"/>
        <w:gridCol w:w="1133"/>
        <w:gridCol w:w="1224"/>
        <w:gridCol w:w="4147"/>
        <w:gridCol w:w="3488"/>
        <w:gridCol w:w="127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blHeader/>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单位（地区）</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4"/>
                <w:szCs w:val="24"/>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名称</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分配下达依据</w:t>
            </w:r>
          </w:p>
        </w:tc>
        <w:tc>
          <w:tcPr>
            <w:tcW w:w="12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lang w:eastAsia="zh-CN"/>
              </w:rPr>
            </w:pPr>
            <w:r>
              <w:rPr>
                <w:rFonts w:hint="default" w:ascii="Times New Roman" w:hAnsi="Times New Roman" w:eastAsia="方正黑体_GBK" w:cs="Times New Roman"/>
                <w:i w:val="0"/>
                <w:iCs w:val="0"/>
                <w:color w:val="000000"/>
                <w:sz w:val="24"/>
                <w:szCs w:val="24"/>
                <w:u w:val="none"/>
                <w:lang w:eastAsia="zh-CN"/>
              </w:rPr>
              <w:t>资金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lang w:eastAsia="zh-CN"/>
              </w:rPr>
            </w:pPr>
            <w:r>
              <w:rPr>
                <w:rFonts w:hint="default" w:ascii="Times New Roman" w:hAnsi="Times New Roman" w:eastAsia="方正黑体_GBK" w:cs="Times New Roman"/>
                <w:i w:val="0"/>
                <w:iCs w:val="0"/>
                <w:color w:val="000000"/>
                <w:sz w:val="24"/>
                <w:szCs w:val="24"/>
                <w:u w:val="none"/>
                <w:lang w:eastAsia="zh-CN"/>
              </w:rPr>
              <w:t>（万元）</w:t>
            </w:r>
          </w:p>
        </w:tc>
        <w:tc>
          <w:tcPr>
            <w:tcW w:w="89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绩效目标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Style w:val="17"/>
                <w:rFonts w:hint="default" w:ascii="Times New Roman" w:hAnsi="Times New Roman" w:eastAsia="方正黑体_GBK" w:cs="Times New Roman"/>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blHeader/>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i w:val="0"/>
                <w:iCs w:val="0"/>
                <w:color w:val="000000"/>
                <w:sz w:val="24"/>
                <w:szCs w:val="24"/>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i w:val="0"/>
                <w:iCs w:val="0"/>
                <w:color w:val="000000"/>
                <w:sz w:val="24"/>
                <w:szCs w:val="24"/>
                <w:u w:val="none"/>
              </w:rPr>
            </w:pPr>
          </w:p>
        </w:tc>
        <w:tc>
          <w:tcPr>
            <w:tcW w:w="122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i w:val="0"/>
                <w:iCs w:val="0"/>
                <w:color w:val="000000"/>
                <w:sz w:val="24"/>
                <w:szCs w:val="24"/>
                <w:u w:val="none"/>
              </w:rPr>
            </w:pPr>
          </w:p>
        </w:tc>
        <w:tc>
          <w:tcPr>
            <w:tcW w:w="4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产出指标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效益指标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指标</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6" w:hRule="atLeast"/>
          <w:tblHeader/>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市农科院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红黑榜激励资金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川财农〔2022〕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55号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400</w:t>
            </w:r>
          </w:p>
        </w:tc>
        <w:tc>
          <w:tcPr>
            <w:tcW w:w="4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方正仿宋_GBK" w:cs="Times New Roman"/>
                <w:color w:val="000000"/>
                <w:kern w:val="0"/>
                <w:sz w:val="20"/>
                <w:szCs w:val="20"/>
                <w:lang w:val="en-US" w:eastAsia="zh-CN"/>
              </w:rPr>
              <w:t>建立百亩攻关方11个（水稻4个，玉米3个，小麦4个）、千亩展示片6个（水稻、玉米、小麦各2个）；带动全市水稻单产增加10公斤，带玉米单产增加15公斤，小麦单产增产30公斤。苎麻中间材料保存圃1个，苎麻试验地填土18亩，土地改良10亩，购买有机肥，化肥100吨。</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方正仿宋_GBK" w:cs="Times New Roman"/>
                <w:color w:val="000000"/>
                <w:kern w:val="0"/>
                <w:sz w:val="20"/>
                <w:szCs w:val="20"/>
                <w:lang w:val="en-US" w:eastAsia="zh-CN"/>
              </w:rPr>
              <w:t>水稻亩增效26元，新增产值7280万元；玉米亩增效39元，新增产值8112万元；小麦亩增效72元，新增产值1800万元；选育新品种1个；资</w:t>
            </w:r>
            <w:r>
              <w:rPr>
                <w:rFonts w:hint="default" w:ascii="Times New Roman" w:hAnsi="Times New Roman" w:eastAsia="方正仿宋_GBK" w:cs="Times New Roman"/>
                <w:i w:val="0"/>
                <w:iCs w:val="0"/>
                <w:color w:val="000000"/>
                <w:kern w:val="0"/>
                <w:sz w:val="20"/>
                <w:szCs w:val="20"/>
                <w:u w:val="none"/>
                <w:lang w:val="en-US" w:eastAsia="zh-CN" w:bidi="ar"/>
              </w:rPr>
              <w:t>金使用无重大违规违纪问题。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color w:val="000000"/>
                <w:kern w:val="0"/>
                <w:sz w:val="20"/>
                <w:szCs w:val="20"/>
                <w:lang w:val="en-US" w:eastAsia="zh-CN"/>
              </w:rPr>
              <w:t>受众群体满意度≥95%。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市农技站</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红黑榜激励资金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川财农〔2022〕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55号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30</w:t>
            </w:r>
          </w:p>
        </w:tc>
        <w:tc>
          <w:tcPr>
            <w:tcW w:w="4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筛选出油菜优新品种3个；项目区稻-油直播高产攻关田块单产达到180kg/亩。</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项目示范区，亩收益增加80.6元，亩节本130元，累计节本增效210.6元；资金使用无重大违规违纪问题。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项目示范区业主满意度≥90%。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4" w:hRule="atLeast"/>
          <w:tblHeader/>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市茶果站</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红黑榜激励资金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川财农〔2022〕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55号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35</w:t>
            </w:r>
          </w:p>
        </w:tc>
        <w:tc>
          <w:tcPr>
            <w:tcW w:w="4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rPr>
              <w:t>采购有机肥等生产资料，用于提升茶叶原料基地产出水平，白茶单产提升至鲜叶100斤/亩、干茶20斤/亩；绿茶单产提升至鲜叶800斤/亩、干茶160斤/亩</w:t>
            </w:r>
            <w:r>
              <w:rPr>
                <w:rFonts w:hint="default" w:ascii="Times New Roman" w:hAnsi="Times New Roman" w:eastAsia="方正仿宋_GBK" w:cs="Times New Roman"/>
                <w:color w:val="000000"/>
                <w:kern w:val="0"/>
                <w:sz w:val="20"/>
                <w:szCs w:val="20"/>
                <w:lang w:eastAsia="zh-CN"/>
              </w:rPr>
              <w:t>。</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rPr>
              <w:t>干茶亩产值达到3万元</w:t>
            </w:r>
            <w:r>
              <w:rPr>
                <w:rFonts w:hint="default" w:ascii="Times New Roman" w:hAnsi="Times New Roman" w:eastAsia="方正仿宋_GBK" w:cs="Times New Roman"/>
                <w:color w:val="000000"/>
                <w:kern w:val="0"/>
                <w:sz w:val="20"/>
                <w:szCs w:val="20"/>
                <w:lang w:eastAsia="zh-CN"/>
              </w:rPr>
              <w:t>；</w:t>
            </w:r>
            <w:r>
              <w:rPr>
                <w:rFonts w:hint="default" w:ascii="Times New Roman" w:hAnsi="Times New Roman" w:eastAsia="方正仿宋_GBK" w:cs="Times New Roman"/>
                <w:i w:val="0"/>
                <w:iCs w:val="0"/>
                <w:color w:val="000000"/>
                <w:kern w:val="0"/>
                <w:sz w:val="20"/>
                <w:szCs w:val="20"/>
                <w:u w:val="none"/>
                <w:lang w:val="en-US" w:eastAsia="zh-CN" w:bidi="ar"/>
              </w:rPr>
              <w:t>资金使用无重大违规违纪问题。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rPr>
              <w:t>满意度达到90%以上</w:t>
            </w:r>
            <w:r>
              <w:rPr>
                <w:rFonts w:hint="default" w:ascii="Times New Roman" w:hAnsi="Times New Roman" w:eastAsia="方正仿宋_GBK" w:cs="Times New Roman"/>
                <w:color w:val="000000"/>
                <w:kern w:val="0"/>
                <w:sz w:val="20"/>
                <w:szCs w:val="20"/>
                <w:lang w:eastAsia="zh-CN"/>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市畜牧站</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红黑榜激励资金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川财农〔2022〕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55号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50</w:t>
            </w:r>
          </w:p>
        </w:tc>
        <w:tc>
          <w:tcPr>
            <w:tcW w:w="4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旧院黑鸡存活率达到90%，形成一套旧院黑鸡健康养殖技术。</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项目场新增产值80万，带动周边养殖户新增养殖3万只；通过健康养殖技术有效减少用药和降低养殖成本；资金使用无重大违规违纪问题。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养殖场业主满意度≥80%。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blHeader/>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市经作站</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红黑榜激励资金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川财农〔2022〕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55号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4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新增萼贝产量300公斤，新增产值60万元。</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提升道地中药材生产水平，资金使用无重大违规违纪问题。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区域内新型经营主体满意度≥80%。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市蚕业站</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红黑榜激励资金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川财农〔2022〕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55号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15</w:t>
            </w:r>
          </w:p>
        </w:tc>
        <w:tc>
          <w:tcPr>
            <w:tcW w:w="4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示范放养柞蚕3公斤、发展柞林400亩；示范养殖黄金茧新品种10张；推广方格簇自动上蔟4000片等。</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相关补贴应补尽补率100%；相应项目附加产值≥20万；带动周边群众全年增收≥4000元；提升蚕桑管理机制健全性；资金使用无重大违规违纪问题。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蚕农满意度≥96%。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市种子站</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红黑榜激励资金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川财农〔2022〕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55号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4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新建示范基地排水沟50米、作业道50米，购置仪器设备1套。</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提升基地新品种示范展示能力，保障用种安全；资金使用无重大违规违纪问题。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基地示范展示区内新型经营主体满意度≥80%。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通川区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红黑榜激励资金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川财农〔2022〕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55号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23.5</w:t>
            </w:r>
          </w:p>
        </w:tc>
        <w:tc>
          <w:tcPr>
            <w:tcW w:w="4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落实经县级人民政府审批同意并经市级审核备案的实施方案确定的目标任务；撂荒地整治先进主体奖补于8月31日之前发放到位。</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资金使用无重大违规违纪问题。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项目实施主体满意度≧80%。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撂荒地奖补3.5万元。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blHeader/>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达川区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红黑榜激励资金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川财农〔2022〕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55号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40</w:t>
            </w:r>
          </w:p>
        </w:tc>
        <w:tc>
          <w:tcPr>
            <w:tcW w:w="4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落实经县级人民政府审批同意并经市级审核备案的实施方案确定的目标任务；撂荒地整治先进主体奖补于8月31日之前发放到位。</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资金使用无重大违规违纪问题。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项目实施主体满意度≧80%。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撂荒地奖补20万元。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blHeader/>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万源市</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红黑榜激励资金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川财农〔2022〕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55号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23.5</w:t>
            </w:r>
          </w:p>
        </w:tc>
        <w:tc>
          <w:tcPr>
            <w:tcW w:w="4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落实经县级人民政府审批同意并经市级审核备案的实施方案确定的目标任务；撂荒地整治先进主体奖补于8月31日之前发放到位。</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资金使用无重大违规违纪问题。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项目实施主体满意度≧80%。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撂荒地奖补3.5万元。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宣汉县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红黑榜激励资金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川财农〔2022〕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55号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26</w:t>
            </w:r>
          </w:p>
        </w:tc>
        <w:tc>
          <w:tcPr>
            <w:tcW w:w="4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落实经县级人民政府审批同意并经市级审核备案的实施方案确定的目标任务；撂荒地整治先进主体奖补于8月31日之前发放到位。</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资金使用无重大违规违纪问题。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项目实施主体满意度≧80%。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撂荒地奖补6万元。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大竹县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红黑榜激励资金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川财农〔2022〕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55号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27.02</w:t>
            </w:r>
          </w:p>
        </w:tc>
        <w:tc>
          <w:tcPr>
            <w:tcW w:w="4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落实经县级人民政府审批同意并经市级审核备案的实施方案确定的目标任务；撂荒地整治先进主体奖补于8月31日之前发放到位。</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资金使用无重大违规违纪问题。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项目实施主体满意度≧80%。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撂荒地奖补7.02万元。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渠县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红黑榜激励资金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川财农〔2022〕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55号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77.98</w:t>
            </w:r>
          </w:p>
        </w:tc>
        <w:tc>
          <w:tcPr>
            <w:tcW w:w="4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落实经县级人民政府审批同意并经市级审核备案的实施方案确定的目标任务；撂荒地整治先进主体奖补于8月31日之前发放到位。</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资金使用无重大违规违纪问题</w:t>
            </w:r>
            <w:r>
              <w:rPr>
                <w:rFonts w:hint="eastAsia" w:eastAsia="方正仿宋_GBK" w:cs="Times New Roman"/>
                <w:i w:val="0"/>
                <w:iCs w:val="0"/>
                <w:color w:val="000000"/>
                <w:kern w:val="0"/>
                <w:sz w:val="20"/>
                <w:szCs w:val="20"/>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项目实施主体满意度≧80%。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撂荒地奖补</w:t>
            </w:r>
            <w:r>
              <w:rPr>
                <w:rFonts w:hint="eastAsia" w:eastAsia="方正仿宋_GBK" w:cs="Times New Roman"/>
                <w:i w:val="0"/>
                <w:iCs w:val="0"/>
                <w:color w:val="000000"/>
                <w:kern w:val="0"/>
                <w:sz w:val="20"/>
                <w:szCs w:val="20"/>
                <w:u w:val="none"/>
                <w:lang w:val="en-US" w:eastAsia="zh-CN" w:bidi="ar"/>
              </w:rPr>
              <w:t>5</w:t>
            </w:r>
            <w:bookmarkStart w:id="0" w:name="_GoBack"/>
            <w:bookmarkEnd w:id="0"/>
            <w:r>
              <w:rPr>
                <w:rFonts w:hint="default" w:ascii="Times New Roman" w:hAnsi="Times New Roman" w:eastAsia="方正仿宋_GBK" w:cs="Times New Roman"/>
                <w:i w:val="0"/>
                <w:iCs w:val="0"/>
                <w:color w:val="000000"/>
                <w:kern w:val="0"/>
                <w:sz w:val="20"/>
                <w:szCs w:val="20"/>
                <w:u w:val="none"/>
                <w:lang w:val="en-US" w:eastAsia="zh-CN" w:bidi="ar"/>
              </w:rPr>
              <w:t>7.98万元。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开江县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红黑榜激励资金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川财农〔2022〕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55号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22</w:t>
            </w:r>
          </w:p>
        </w:tc>
        <w:tc>
          <w:tcPr>
            <w:tcW w:w="4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落实经县级人民政府审批同意并经市级审核备案的实施方案确定的目标任务；撂荒地整治先进主体奖补于8月31日之前发放到位。</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资金使用无重大违规违纪问题。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项目实施主体满意度≧80%。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撂荒地奖补2万元。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blHeader/>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达州</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高新区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红黑榜激励资金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川财农〔2022〕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55号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4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撂荒地整治先进主体奖补于8月31日之前</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发放到位。</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资金使用无重大违规违纪问题。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项目实施主体满意度≧80%。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达州东部</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经开区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红黑榜激励资金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川财农〔2022〕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55号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4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撂荒地整治先进主体奖补于8月31日之前</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发放到位。</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资金使用无重大违规违纪问题。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项目实施主体满意度≧80%。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市饲草站</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种质资源保护与</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利用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川草〔2022〕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16号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4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饲草种质资源收集70份、评价70份、鉴定20份、保存50份。</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保障用种安全，提升“川种”核心竞争力；资金使用无重大违规违纪问题。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区域内新型经营主体和农牧民满意度≥80%。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blHeader/>
          <w:jc w:val="center"/>
        </w:trPr>
        <w:tc>
          <w:tcPr>
            <w:tcW w:w="114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市畜牧站</w:t>
            </w:r>
          </w:p>
        </w:tc>
        <w:tc>
          <w:tcPr>
            <w:tcW w:w="113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种质资源保护与</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利用</w:t>
            </w:r>
          </w:p>
        </w:tc>
        <w:tc>
          <w:tcPr>
            <w:tcW w:w="113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川财农〔2022〕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55号</w:t>
            </w:r>
          </w:p>
        </w:tc>
        <w:tc>
          <w:tcPr>
            <w:tcW w:w="12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7</w:t>
            </w:r>
          </w:p>
        </w:tc>
        <w:tc>
          <w:tcPr>
            <w:tcW w:w="414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协调、配合完成辖区内畜禽遗传资源普查性能测定和系统评价工作。</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提升“川种”核心竞争力；资金使用无重大违规违纪问题。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服务对象满意度≥90%。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114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eastAsia="zh-CN"/>
              </w:rPr>
              <w:t>市种子站</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现代种业提升工程监管服务能力提升</w:t>
            </w:r>
          </w:p>
        </w:tc>
        <w:tc>
          <w:tcPr>
            <w:tcW w:w="113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川财农〔2022〕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55号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4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品种试验质量检查和信息调度；转基因试纸条快速检测。</w:t>
            </w:r>
          </w:p>
        </w:tc>
        <w:tc>
          <w:tcPr>
            <w:tcW w:w="3488"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保障用种安全；资金使用无重大违规违纪问题。</w:t>
            </w:r>
          </w:p>
        </w:tc>
        <w:tc>
          <w:tcPr>
            <w:tcW w:w="127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区域内新型经营主体满意度≥80%。</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114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p>
        </w:tc>
        <w:tc>
          <w:tcPr>
            <w:tcW w:w="113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14.4</w:t>
            </w:r>
          </w:p>
        </w:tc>
        <w:tc>
          <w:tcPr>
            <w:tcW w:w="4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种子质量样品抽取及常规检查180个样（次）。</w:t>
            </w:r>
          </w:p>
        </w:tc>
        <w:tc>
          <w:tcPr>
            <w:tcW w:w="3488"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保障用种安全；提升“川种”核心竞争力；资金使用无重大违规违纪问题。</w:t>
            </w:r>
          </w:p>
        </w:tc>
        <w:tc>
          <w:tcPr>
            <w:tcW w:w="12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114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p>
        </w:tc>
        <w:tc>
          <w:tcPr>
            <w:tcW w:w="113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2.8</w:t>
            </w:r>
          </w:p>
        </w:tc>
        <w:tc>
          <w:tcPr>
            <w:tcW w:w="4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报送农作物种子信息1400条。</w:t>
            </w:r>
          </w:p>
        </w:tc>
        <w:tc>
          <w:tcPr>
            <w:tcW w:w="3488"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保障用种安全；资金使用无重大违规违纪问题。</w:t>
            </w:r>
          </w:p>
        </w:tc>
        <w:tc>
          <w:tcPr>
            <w:tcW w:w="127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blHeader/>
          <w:jc w:val="center"/>
        </w:trPr>
        <w:tc>
          <w:tcPr>
            <w:tcW w:w="114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市农业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农村局</w:t>
            </w:r>
          </w:p>
        </w:tc>
        <w:tc>
          <w:tcPr>
            <w:tcW w:w="113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农业农村信息监测采集</w:t>
            </w:r>
          </w:p>
        </w:tc>
        <w:tc>
          <w:tcPr>
            <w:tcW w:w="113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川财农〔2022〕55号</w:t>
            </w:r>
          </w:p>
        </w:tc>
        <w:tc>
          <w:tcPr>
            <w:tcW w:w="122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414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按照工作日历，及时、完整、准确报送农情</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监测数据。</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资金使用无重大违规违纪问题。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农业农村信息监测</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采集。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blHeader/>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848.2</w:t>
            </w:r>
          </w:p>
        </w:tc>
        <w:tc>
          <w:tcPr>
            <w:tcW w:w="4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r>
    </w:tbl>
    <w:p>
      <w:pPr>
        <w:pStyle w:val="2"/>
        <w:keepNext w:val="0"/>
        <w:keepLines w:val="0"/>
        <w:pageBreakBefore w:val="0"/>
        <w:kinsoku/>
        <w:wordWrap/>
        <w:overflowPunct/>
        <w:topLinePunct w:val="0"/>
        <w:autoSpaceDE/>
        <w:autoSpaceDN/>
        <w:bidi w:val="0"/>
        <w:adjustRightInd/>
        <w:snapToGrid/>
        <w:spacing w:line="578" w:lineRule="exact"/>
        <w:ind w:left="0" w:leftChars="0" w:firstLine="0" w:firstLineChars="0"/>
        <w:rPr>
          <w:rFonts w:hint="default" w:ascii="Times New Roman" w:hAnsi="Times New Roman" w:eastAsia="宋体" w:cs="Times New Roman"/>
          <w:lang w:val="en-US" w:eastAsia="zh-CN"/>
        </w:rPr>
        <w:sectPr>
          <w:footerReference r:id="rId3" w:type="default"/>
          <w:pgSz w:w="16838" w:h="11906" w:orient="landscape"/>
          <w:pgMar w:top="2098" w:right="1474" w:bottom="1984" w:left="1587" w:header="0" w:footer="1587" w:gutter="0"/>
          <w:pgNumType w:fmt="numberInDash"/>
          <w:cols w:space="0" w:num="1"/>
          <w:rtlGutter w:val="0"/>
          <w:docGrid w:type="linesAndChars" w:linePitch="312" w:charSpace="0"/>
        </w:sectPr>
      </w:pPr>
      <w:r>
        <w:rPr>
          <w:rFonts w:hint="eastAsia" w:cs="Times New Roman"/>
          <w:lang w:eastAsia="zh-CN"/>
        </w:rPr>
        <w:t xml:space="preserve"> </w:t>
      </w:r>
      <w:r>
        <w:rPr>
          <w:rFonts w:hint="eastAsia"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hint="default" w:ascii="Times New Roman" w:hAnsi="Times New Roman" w:eastAsia="仿宋_GB2312" w:cs="Times New Roman"/>
          <w:bCs/>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hint="default" w:ascii="Times New Roman" w:hAnsi="Times New Roman" w:eastAsia="仿宋_GB2312" w:cs="Times New Roman"/>
          <w:bCs/>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hint="default" w:ascii="Times New Roman" w:hAnsi="Times New Roman" w:eastAsia="仿宋_GB2312" w:cs="Times New Roman"/>
          <w:bCs/>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hint="default" w:ascii="Times New Roman" w:hAnsi="Times New Roman" w:eastAsia="仿宋_GB2312" w:cs="Times New Roman"/>
          <w:bCs/>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hint="default" w:ascii="Times New Roman" w:hAnsi="Times New Roman" w:eastAsia="仿宋_GB2312" w:cs="Times New Roman"/>
          <w:bCs/>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hint="default" w:ascii="Times New Roman" w:hAnsi="Times New Roman" w:eastAsia="仿宋_GB2312" w:cs="Times New Roman"/>
          <w:bCs/>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hint="default" w:ascii="Times New Roman" w:hAnsi="Times New Roman" w:eastAsia="仿宋_GB2312" w:cs="Times New Roman"/>
          <w:bCs/>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hint="default" w:ascii="Times New Roman" w:hAnsi="Times New Roman" w:eastAsia="仿宋_GB2312" w:cs="Times New Roman"/>
          <w:bCs/>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hint="default" w:ascii="Times New Roman" w:hAnsi="Times New Roman" w:eastAsia="仿宋_GB2312" w:cs="Times New Roman"/>
          <w:bCs/>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hint="default" w:ascii="Times New Roman" w:hAnsi="Times New Roman" w:eastAsia="仿宋_GB2312" w:cs="Times New Roman"/>
          <w:bCs/>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hint="default" w:ascii="Times New Roman" w:hAnsi="Times New Roman" w:eastAsia="仿宋_GB2312" w:cs="Times New Roman"/>
          <w:bCs/>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hint="default" w:ascii="Times New Roman" w:hAnsi="Times New Roman" w:eastAsia="仿宋_GB2312" w:cs="Times New Roman"/>
          <w:bCs/>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hint="default" w:ascii="Times New Roman" w:hAnsi="Times New Roman" w:eastAsia="仿宋_GB2312" w:cs="Times New Roman"/>
          <w:bCs/>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hint="default" w:ascii="Times New Roman" w:hAnsi="Times New Roman" w:eastAsia="仿宋_GB2312" w:cs="Times New Roman"/>
          <w:bCs/>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hint="default" w:ascii="Times New Roman" w:hAnsi="Times New Roman" w:eastAsia="仿宋_GB2312" w:cs="Times New Roman"/>
          <w:bCs/>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hint="default" w:ascii="Times New Roman" w:hAnsi="Times New Roman" w:eastAsia="仿宋_GB2312" w:cs="Times New Roman"/>
          <w:bCs/>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hint="default" w:ascii="Times New Roman" w:hAnsi="Times New Roman" w:eastAsia="仿宋_GB2312" w:cs="Times New Roman"/>
          <w:bCs/>
          <w:sz w:val="28"/>
          <w:szCs w:val="28"/>
        </w:rPr>
      </w:pPr>
    </w:p>
    <w:p>
      <w:pPr>
        <w:pStyle w:val="5"/>
        <w:keepNext w:val="0"/>
        <w:keepLines w:val="0"/>
        <w:pageBreakBefore w:val="0"/>
        <w:widowControl w:val="0"/>
        <w:kinsoku/>
        <w:wordWrap w:val="0"/>
        <w:overflowPunct/>
        <w:topLinePunct w:val="0"/>
        <w:autoSpaceDE/>
        <w:autoSpaceDN/>
        <w:bidi w:val="0"/>
        <w:adjustRightInd/>
        <w:snapToGrid/>
        <w:spacing w:line="240" w:lineRule="exact"/>
        <w:ind w:firstLine="281" w:firstLineChars="100"/>
        <w:textAlignment w:val="auto"/>
        <w:rPr>
          <w:rFonts w:hint="default" w:ascii="Times New Roman" w:hAnsi="Times New Roman" w:eastAsia="方正仿宋_GBK" w:cs="Times New Roman"/>
          <w:sz w:val="28"/>
          <w:szCs w:val="28"/>
        </w:rPr>
      </w:pPr>
    </w:p>
    <w:p>
      <w:pPr>
        <w:pStyle w:val="5"/>
        <w:keepNext w:val="0"/>
        <w:keepLines w:val="0"/>
        <w:pageBreakBefore w:val="0"/>
        <w:widowControl w:val="0"/>
        <w:kinsoku/>
        <w:wordWrap w:val="0"/>
        <w:overflowPunct/>
        <w:topLinePunct w:val="0"/>
        <w:autoSpaceDE/>
        <w:autoSpaceDN/>
        <w:bidi w:val="0"/>
        <w:adjustRightInd/>
        <w:snapToGrid/>
        <w:spacing w:line="240" w:lineRule="exact"/>
        <w:ind w:firstLine="281" w:firstLineChars="100"/>
        <w:textAlignment w:val="auto"/>
        <w:rPr>
          <w:rFonts w:hint="default" w:ascii="Times New Roman" w:hAnsi="Times New Roman" w:eastAsia="方正仿宋_GBK" w:cs="Times New Roman"/>
          <w:sz w:val="28"/>
          <w:szCs w:val="28"/>
        </w:rPr>
      </w:pPr>
    </w:p>
    <w:p>
      <w:pPr>
        <w:pStyle w:val="5"/>
        <w:keepNext w:val="0"/>
        <w:keepLines w:val="0"/>
        <w:pageBreakBefore w:val="0"/>
        <w:widowControl w:val="0"/>
        <w:kinsoku/>
        <w:wordWrap w:val="0"/>
        <w:overflowPunct/>
        <w:topLinePunct w:val="0"/>
        <w:autoSpaceDE/>
        <w:autoSpaceDN/>
        <w:bidi w:val="0"/>
        <w:adjustRightInd/>
        <w:snapToGrid/>
        <w:spacing w:line="240" w:lineRule="exact"/>
        <w:ind w:firstLine="281" w:firstLineChars="100"/>
        <w:textAlignment w:val="auto"/>
        <w:rPr>
          <w:rFonts w:hint="default" w:ascii="Times New Roman" w:hAnsi="Times New Roman" w:eastAsia="方正仿宋_GBK" w:cs="Times New Roman"/>
          <w:sz w:val="28"/>
          <w:szCs w:val="28"/>
        </w:rPr>
      </w:pPr>
    </w:p>
    <w:p>
      <w:pPr>
        <w:pStyle w:val="5"/>
        <w:keepNext w:val="0"/>
        <w:keepLines w:val="0"/>
        <w:pageBreakBefore w:val="0"/>
        <w:widowControl w:val="0"/>
        <w:kinsoku/>
        <w:wordWrap w:val="0"/>
        <w:overflowPunct/>
        <w:topLinePunct w:val="0"/>
        <w:autoSpaceDE/>
        <w:autoSpaceDN/>
        <w:bidi w:val="0"/>
        <w:adjustRightInd/>
        <w:snapToGrid/>
        <w:spacing w:line="240" w:lineRule="exact"/>
        <w:ind w:firstLine="281" w:firstLineChars="100"/>
        <w:textAlignment w:val="auto"/>
        <w:rPr>
          <w:rFonts w:hint="default" w:ascii="Times New Roman" w:hAnsi="Times New Roman" w:eastAsia="方正仿宋_GBK" w:cs="Times New Roman"/>
          <w:sz w:val="28"/>
          <w:szCs w:val="28"/>
        </w:rPr>
      </w:pPr>
    </w:p>
    <w:p>
      <w:pPr>
        <w:pStyle w:val="5"/>
        <w:keepNext w:val="0"/>
        <w:keepLines w:val="0"/>
        <w:pageBreakBefore w:val="0"/>
        <w:widowControl w:val="0"/>
        <w:kinsoku/>
        <w:wordWrap w:val="0"/>
        <w:overflowPunct/>
        <w:topLinePunct w:val="0"/>
        <w:autoSpaceDE/>
        <w:autoSpaceDN/>
        <w:bidi w:val="0"/>
        <w:adjustRightInd/>
        <w:snapToGrid/>
        <w:spacing w:line="240" w:lineRule="exact"/>
        <w:ind w:firstLine="281" w:firstLineChars="100"/>
        <w:textAlignment w:val="auto"/>
        <w:rPr>
          <w:rFonts w:hint="default" w:ascii="Times New Roman" w:hAnsi="Times New Roman" w:eastAsia="方正仿宋_GBK" w:cs="Times New Roman"/>
          <w:sz w:val="28"/>
          <w:szCs w:val="28"/>
        </w:rPr>
      </w:pPr>
    </w:p>
    <w:p>
      <w:pPr>
        <w:pStyle w:val="5"/>
        <w:keepNext w:val="0"/>
        <w:keepLines w:val="0"/>
        <w:pageBreakBefore w:val="0"/>
        <w:widowControl w:val="0"/>
        <w:kinsoku/>
        <w:wordWrap w:val="0"/>
        <w:overflowPunct/>
        <w:topLinePunct w:val="0"/>
        <w:autoSpaceDE/>
        <w:autoSpaceDN/>
        <w:bidi w:val="0"/>
        <w:adjustRightInd/>
        <w:snapToGrid/>
        <w:spacing w:line="240" w:lineRule="exact"/>
        <w:ind w:firstLine="281" w:firstLineChars="100"/>
        <w:textAlignment w:val="auto"/>
        <w:rPr>
          <w:rFonts w:hint="default" w:ascii="Times New Roman" w:hAnsi="Times New Roman" w:eastAsia="方正仿宋_GBK" w:cs="Times New Roman"/>
          <w:sz w:val="28"/>
          <w:szCs w:val="28"/>
        </w:rPr>
      </w:pPr>
    </w:p>
    <w:p>
      <w:pPr>
        <w:pStyle w:val="5"/>
        <w:keepNext w:val="0"/>
        <w:keepLines w:val="0"/>
        <w:pageBreakBefore w:val="0"/>
        <w:widowControl w:val="0"/>
        <w:kinsoku/>
        <w:wordWrap w:val="0"/>
        <w:overflowPunct/>
        <w:topLinePunct w:val="0"/>
        <w:autoSpaceDE/>
        <w:autoSpaceDN/>
        <w:bidi w:val="0"/>
        <w:adjustRightInd/>
        <w:snapToGrid/>
        <w:spacing w:line="240" w:lineRule="exact"/>
        <w:ind w:firstLine="281" w:firstLineChars="100"/>
        <w:textAlignment w:val="auto"/>
        <w:rPr>
          <w:rFonts w:hint="default" w:ascii="Times New Roman" w:hAnsi="Times New Roman" w:eastAsia="方正仿宋_GBK" w:cs="Times New Roman"/>
          <w:sz w:val="28"/>
          <w:szCs w:val="28"/>
        </w:rPr>
      </w:pPr>
    </w:p>
    <w:p>
      <w:pPr>
        <w:pStyle w:val="5"/>
        <w:keepNext w:val="0"/>
        <w:keepLines w:val="0"/>
        <w:pageBreakBefore w:val="0"/>
        <w:widowControl w:val="0"/>
        <w:kinsoku/>
        <w:wordWrap w:val="0"/>
        <w:overflowPunct/>
        <w:topLinePunct w:val="0"/>
        <w:autoSpaceDE/>
        <w:autoSpaceDN/>
        <w:bidi w:val="0"/>
        <w:adjustRightInd/>
        <w:snapToGrid/>
        <w:spacing w:line="240" w:lineRule="exact"/>
        <w:ind w:firstLine="281" w:firstLineChars="100"/>
        <w:textAlignment w:val="auto"/>
        <w:rPr>
          <w:rFonts w:hint="default" w:ascii="Times New Roman" w:hAnsi="Times New Roman" w:eastAsia="方正仿宋_GBK" w:cs="Times New Roman"/>
          <w:sz w:val="28"/>
          <w:szCs w:val="28"/>
        </w:rPr>
      </w:pPr>
    </w:p>
    <w:p>
      <w:pPr>
        <w:pStyle w:val="5"/>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 w:val="0"/>
          <w:bCs w:val="0"/>
          <w:sz w:val="28"/>
          <w:szCs w:val="28"/>
          <w:lang w:val="en-US" w:eastAsia="zh-CN"/>
        </w:rPr>
        <w:t xml:space="preserve"> </w:t>
      </w:r>
    </w:p>
    <w:sectPr>
      <w:footerReference r:id="rId4" w:type="default"/>
      <w:pgSz w:w="11907" w:h="16840"/>
      <w:pgMar w:top="2098" w:right="1474" w:bottom="1985" w:left="1588" w:header="851" w:footer="1701" w:gutter="0"/>
      <w:pgNumType w:fmt="numberInDash"/>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altName w:val="宋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DC"/>
    <w:rsid w:val="00080146"/>
    <w:rsid w:val="000E1584"/>
    <w:rsid w:val="000F056F"/>
    <w:rsid w:val="00114E78"/>
    <w:rsid w:val="00166D21"/>
    <w:rsid w:val="001C18C7"/>
    <w:rsid w:val="0020747B"/>
    <w:rsid w:val="002973D0"/>
    <w:rsid w:val="002C05EC"/>
    <w:rsid w:val="00321A4C"/>
    <w:rsid w:val="003739D0"/>
    <w:rsid w:val="003A3EE3"/>
    <w:rsid w:val="003A4585"/>
    <w:rsid w:val="003E33E4"/>
    <w:rsid w:val="003E37C4"/>
    <w:rsid w:val="003F0919"/>
    <w:rsid w:val="00447025"/>
    <w:rsid w:val="0045091F"/>
    <w:rsid w:val="004A21DC"/>
    <w:rsid w:val="005B1B5B"/>
    <w:rsid w:val="006024DC"/>
    <w:rsid w:val="006B1054"/>
    <w:rsid w:val="006D07FE"/>
    <w:rsid w:val="006F017D"/>
    <w:rsid w:val="007002CC"/>
    <w:rsid w:val="00732088"/>
    <w:rsid w:val="00797D91"/>
    <w:rsid w:val="007A0A91"/>
    <w:rsid w:val="007A0B37"/>
    <w:rsid w:val="007C0687"/>
    <w:rsid w:val="007C36E4"/>
    <w:rsid w:val="00811653"/>
    <w:rsid w:val="0082788A"/>
    <w:rsid w:val="00855925"/>
    <w:rsid w:val="00900385"/>
    <w:rsid w:val="009129B3"/>
    <w:rsid w:val="0092307F"/>
    <w:rsid w:val="0097315E"/>
    <w:rsid w:val="009C70AD"/>
    <w:rsid w:val="009C76CB"/>
    <w:rsid w:val="009D42EC"/>
    <w:rsid w:val="009E32AB"/>
    <w:rsid w:val="009F6CAE"/>
    <w:rsid w:val="00A11FF2"/>
    <w:rsid w:val="00A44A98"/>
    <w:rsid w:val="00A701C9"/>
    <w:rsid w:val="00AC7C18"/>
    <w:rsid w:val="00B75E80"/>
    <w:rsid w:val="00C03D09"/>
    <w:rsid w:val="00C22559"/>
    <w:rsid w:val="00C3537E"/>
    <w:rsid w:val="00C370F8"/>
    <w:rsid w:val="00C53990"/>
    <w:rsid w:val="00C91685"/>
    <w:rsid w:val="00D146B2"/>
    <w:rsid w:val="00D541F6"/>
    <w:rsid w:val="00D63254"/>
    <w:rsid w:val="00D733F9"/>
    <w:rsid w:val="00DB55A4"/>
    <w:rsid w:val="00DF3B84"/>
    <w:rsid w:val="00E317B3"/>
    <w:rsid w:val="00E50723"/>
    <w:rsid w:val="00E64713"/>
    <w:rsid w:val="00EA2BC7"/>
    <w:rsid w:val="00EB49D2"/>
    <w:rsid w:val="00F151F9"/>
    <w:rsid w:val="00F24B30"/>
    <w:rsid w:val="00F93617"/>
    <w:rsid w:val="02B32C00"/>
    <w:rsid w:val="03EF2FBB"/>
    <w:rsid w:val="05756082"/>
    <w:rsid w:val="082336E3"/>
    <w:rsid w:val="0C654420"/>
    <w:rsid w:val="0E685187"/>
    <w:rsid w:val="0FC71563"/>
    <w:rsid w:val="12C67346"/>
    <w:rsid w:val="13F72BA7"/>
    <w:rsid w:val="14522FE3"/>
    <w:rsid w:val="18995B9F"/>
    <w:rsid w:val="192C4FEE"/>
    <w:rsid w:val="1ACE2C23"/>
    <w:rsid w:val="239A3049"/>
    <w:rsid w:val="266B71CA"/>
    <w:rsid w:val="29FDF650"/>
    <w:rsid w:val="2AFDD1A6"/>
    <w:rsid w:val="2B1C3150"/>
    <w:rsid w:val="2B7C46C7"/>
    <w:rsid w:val="2C7C6FE1"/>
    <w:rsid w:val="2D131D12"/>
    <w:rsid w:val="2F7F49A6"/>
    <w:rsid w:val="34882D3D"/>
    <w:rsid w:val="362A4EEC"/>
    <w:rsid w:val="36BEFEFD"/>
    <w:rsid w:val="36DC6F0E"/>
    <w:rsid w:val="378E624D"/>
    <w:rsid w:val="38575A2E"/>
    <w:rsid w:val="3A2E2C48"/>
    <w:rsid w:val="3AFB3376"/>
    <w:rsid w:val="3B185D76"/>
    <w:rsid w:val="3B9EF298"/>
    <w:rsid w:val="3CC82828"/>
    <w:rsid w:val="3EE8401A"/>
    <w:rsid w:val="3F394FEE"/>
    <w:rsid w:val="3FEE392E"/>
    <w:rsid w:val="3FF7C87C"/>
    <w:rsid w:val="45365471"/>
    <w:rsid w:val="45B83A6E"/>
    <w:rsid w:val="4B552153"/>
    <w:rsid w:val="4D283DB5"/>
    <w:rsid w:val="4F77E02F"/>
    <w:rsid w:val="4FBE4385"/>
    <w:rsid w:val="5367C656"/>
    <w:rsid w:val="5383630B"/>
    <w:rsid w:val="543C6107"/>
    <w:rsid w:val="54D74D0C"/>
    <w:rsid w:val="55A62DFB"/>
    <w:rsid w:val="570D12F5"/>
    <w:rsid w:val="57D12ACE"/>
    <w:rsid w:val="57EB4F2D"/>
    <w:rsid w:val="57EF7B65"/>
    <w:rsid w:val="58CD4E39"/>
    <w:rsid w:val="5A6A75DF"/>
    <w:rsid w:val="5AD61185"/>
    <w:rsid w:val="5B5F1647"/>
    <w:rsid w:val="5CFDE808"/>
    <w:rsid w:val="5F7F9495"/>
    <w:rsid w:val="5FB017A0"/>
    <w:rsid w:val="5FBB9D48"/>
    <w:rsid w:val="5FF96951"/>
    <w:rsid w:val="627E03FC"/>
    <w:rsid w:val="62D5C293"/>
    <w:rsid w:val="648830E1"/>
    <w:rsid w:val="65EE4952"/>
    <w:rsid w:val="66BF8D6D"/>
    <w:rsid w:val="6B97AB31"/>
    <w:rsid w:val="6DD65315"/>
    <w:rsid w:val="6EA423E5"/>
    <w:rsid w:val="6EFF637B"/>
    <w:rsid w:val="6FBF4E25"/>
    <w:rsid w:val="6FC8F311"/>
    <w:rsid w:val="73556829"/>
    <w:rsid w:val="74654700"/>
    <w:rsid w:val="755ED9CB"/>
    <w:rsid w:val="759BE4DE"/>
    <w:rsid w:val="76ECFB69"/>
    <w:rsid w:val="77B30F34"/>
    <w:rsid w:val="77EE8C46"/>
    <w:rsid w:val="7935310B"/>
    <w:rsid w:val="7A364219"/>
    <w:rsid w:val="7ABFAC8F"/>
    <w:rsid w:val="7AFF9E4C"/>
    <w:rsid w:val="7BB04FC9"/>
    <w:rsid w:val="7EE60311"/>
    <w:rsid w:val="7F7F6893"/>
    <w:rsid w:val="7FBF474E"/>
    <w:rsid w:val="7FF72B05"/>
    <w:rsid w:val="7FFFAE78"/>
    <w:rsid w:val="82D52FC1"/>
    <w:rsid w:val="9BFB4485"/>
    <w:rsid w:val="B7EB69C4"/>
    <w:rsid w:val="B7FF2DDC"/>
    <w:rsid w:val="BE7F97A5"/>
    <w:rsid w:val="BF630CBD"/>
    <w:rsid w:val="BFFF78CD"/>
    <w:rsid w:val="CE3E8D1C"/>
    <w:rsid w:val="CEFD88D1"/>
    <w:rsid w:val="CF9DD9AE"/>
    <w:rsid w:val="D93757E0"/>
    <w:rsid w:val="DB77B8AF"/>
    <w:rsid w:val="DBF339D6"/>
    <w:rsid w:val="DCFF91A7"/>
    <w:rsid w:val="DEC9AD5F"/>
    <w:rsid w:val="DFBFC72D"/>
    <w:rsid w:val="E2E6DA4E"/>
    <w:rsid w:val="E97B827C"/>
    <w:rsid w:val="EF65D3F0"/>
    <w:rsid w:val="EF77DB77"/>
    <w:rsid w:val="EFAA8AE1"/>
    <w:rsid w:val="F143F930"/>
    <w:rsid w:val="F56A2153"/>
    <w:rsid w:val="F7F9DD2D"/>
    <w:rsid w:val="F7FE5990"/>
    <w:rsid w:val="F7FFBC2E"/>
    <w:rsid w:val="FBF7B4BA"/>
    <w:rsid w:val="FD7ABE92"/>
    <w:rsid w:val="FD7F145E"/>
    <w:rsid w:val="FD9C25BC"/>
    <w:rsid w:val="FDAF606D"/>
    <w:rsid w:val="FDFFBE82"/>
    <w:rsid w:val="FFBF1EA7"/>
    <w:rsid w:val="FFD73BDF"/>
    <w:rsid w:val="FFF7EB79"/>
    <w:rsid w:val="FFFB4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9"/>
    <w:pPr>
      <w:keepNext/>
      <w:keepLines/>
      <w:spacing w:before="260" w:after="260" w:line="410"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5">
    <w:name w:val="Body Text"/>
    <w:basedOn w:val="1"/>
    <w:qFormat/>
    <w:uiPriority w:val="0"/>
    <w:rPr>
      <w:rFonts w:eastAsia="黑体"/>
      <w:b/>
      <w:bCs/>
      <w:sz w:val="44"/>
      <w:szCs w:val="24"/>
    </w:rPr>
  </w:style>
  <w:style w:type="paragraph" w:styleId="6">
    <w:name w:val="Date"/>
    <w:basedOn w:val="1"/>
    <w:next w:val="1"/>
    <w:link w:val="14"/>
    <w:semiHidden/>
    <w:unhideWhenUsed/>
    <w:qFormat/>
    <w:uiPriority w:val="99"/>
    <w:pPr>
      <w:ind w:left="100" w:leftChars="2500"/>
    </w:pPr>
  </w:style>
  <w:style w:type="paragraph" w:styleId="7">
    <w:name w:val="footer"/>
    <w:basedOn w:val="1"/>
    <w:link w:val="13"/>
    <w:semiHidden/>
    <w:unhideWhenUsed/>
    <w:qFormat/>
    <w:uiPriority w:val="99"/>
    <w:pPr>
      <w:tabs>
        <w:tab w:val="center" w:pos="4153"/>
        <w:tab w:val="right" w:pos="8306"/>
      </w:tabs>
      <w:snapToGrid w:val="0"/>
      <w:jc w:val="left"/>
    </w:pPr>
    <w:rPr>
      <w:sz w:val="18"/>
      <w:szCs w:val="18"/>
    </w:rPr>
  </w:style>
  <w:style w:type="paragraph" w:styleId="8">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8"/>
    <w:semiHidden/>
    <w:qFormat/>
    <w:uiPriority w:val="99"/>
    <w:rPr>
      <w:rFonts w:ascii="Times New Roman" w:hAnsi="Times New Roman" w:eastAsia="宋体" w:cs="Times New Roman"/>
      <w:sz w:val="18"/>
      <w:szCs w:val="18"/>
    </w:rPr>
  </w:style>
  <w:style w:type="character" w:customStyle="1" w:styleId="13">
    <w:name w:val="页脚 Char"/>
    <w:basedOn w:val="11"/>
    <w:link w:val="7"/>
    <w:semiHidden/>
    <w:qFormat/>
    <w:uiPriority w:val="99"/>
    <w:rPr>
      <w:rFonts w:ascii="Times New Roman" w:hAnsi="Times New Roman" w:eastAsia="宋体" w:cs="Times New Roman"/>
      <w:sz w:val="18"/>
      <w:szCs w:val="18"/>
    </w:rPr>
  </w:style>
  <w:style w:type="character" w:customStyle="1" w:styleId="14">
    <w:name w:val="日期 Char"/>
    <w:basedOn w:val="11"/>
    <w:link w:val="6"/>
    <w:semiHidden/>
    <w:qFormat/>
    <w:uiPriority w:val="99"/>
    <w:rPr>
      <w:rFonts w:ascii="Times New Roman" w:hAnsi="Times New Roman" w:eastAsia="宋体" w:cs="Times New Roman"/>
      <w:szCs w:val="24"/>
    </w:rPr>
  </w:style>
  <w:style w:type="character" w:customStyle="1" w:styleId="15">
    <w:name w:val="font21"/>
    <w:basedOn w:val="11"/>
    <w:qFormat/>
    <w:uiPriority w:val="0"/>
    <w:rPr>
      <w:rFonts w:hint="eastAsia" w:ascii="宋体" w:hAnsi="宋体" w:eastAsia="宋体" w:cs="宋体"/>
      <w:color w:val="000000"/>
      <w:sz w:val="22"/>
      <w:szCs w:val="22"/>
      <w:u w:val="none"/>
    </w:rPr>
  </w:style>
  <w:style w:type="character" w:customStyle="1" w:styleId="16">
    <w:name w:val="font31"/>
    <w:basedOn w:val="11"/>
    <w:qFormat/>
    <w:uiPriority w:val="0"/>
    <w:rPr>
      <w:rFonts w:hint="eastAsia" w:ascii="宋体" w:hAnsi="宋体" w:eastAsia="宋体" w:cs="宋体"/>
      <w:color w:val="000000"/>
      <w:sz w:val="22"/>
      <w:szCs w:val="22"/>
      <w:u w:val="none"/>
    </w:rPr>
  </w:style>
  <w:style w:type="character" w:customStyle="1" w:styleId="17">
    <w:name w:val="font01"/>
    <w:basedOn w:val="11"/>
    <w:qFormat/>
    <w:uiPriority w:val="0"/>
    <w:rPr>
      <w:rFonts w:hint="eastAsia" w:ascii="方正仿宋_GBK" w:hAnsi="方正仿宋_GBK" w:eastAsia="方正仿宋_GBK" w:cs="方正仿宋_GBK"/>
      <w:color w:val="000000"/>
      <w:sz w:val="24"/>
      <w:szCs w:val="24"/>
      <w:u w:val="none"/>
    </w:rPr>
  </w:style>
  <w:style w:type="character" w:customStyle="1" w:styleId="18">
    <w:name w:val="font11"/>
    <w:basedOn w:val="11"/>
    <w:qFormat/>
    <w:uiPriority w:val="0"/>
    <w:rPr>
      <w:rFonts w:hint="default" w:ascii="Times New Roman" w:hAnsi="Times New Roman" w:cs="Times New Roman"/>
      <w:color w:val="000000"/>
      <w:sz w:val="20"/>
      <w:szCs w:val="20"/>
      <w:u w:val="none"/>
    </w:rPr>
  </w:style>
  <w:style w:type="character" w:customStyle="1" w:styleId="19">
    <w:name w:val="font71"/>
    <w:basedOn w:val="11"/>
    <w:qFormat/>
    <w:uiPriority w:val="0"/>
    <w:rPr>
      <w:rFonts w:hint="default" w:ascii="Times New Roman" w:hAnsi="Times New Roman" w:cs="Times New Roman"/>
      <w:color w:val="000000"/>
      <w:sz w:val="20"/>
      <w:szCs w:val="20"/>
      <w:u w:val="none"/>
    </w:rPr>
  </w:style>
  <w:style w:type="character" w:customStyle="1" w:styleId="20">
    <w:name w:val="font61"/>
    <w:basedOn w:val="11"/>
    <w:qFormat/>
    <w:uiPriority w:val="0"/>
    <w:rPr>
      <w:rFonts w:hint="eastAsia" w:ascii="方正仿宋_GBK" w:hAnsi="方正仿宋_GBK" w:eastAsia="方正仿宋_GBK" w:cs="方正仿宋_GBK"/>
      <w:color w:val="000000"/>
      <w:sz w:val="20"/>
      <w:szCs w:val="20"/>
      <w:u w:val="none"/>
    </w:rPr>
  </w:style>
  <w:style w:type="character" w:customStyle="1" w:styleId="21">
    <w:name w:val="font51"/>
    <w:basedOn w:val="11"/>
    <w:qFormat/>
    <w:uiPriority w:val="0"/>
    <w:rPr>
      <w:rFonts w:hint="default" w:ascii="Times New Roman" w:hAnsi="Times New Roman" w:cs="Times New Roman"/>
      <w:color w:val="000000"/>
      <w:sz w:val="20"/>
      <w:szCs w:val="20"/>
      <w:u w:val="none"/>
    </w:rPr>
  </w:style>
  <w:style w:type="character" w:customStyle="1" w:styleId="22">
    <w:name w:val="font81"/>
    <w:basedOn w:val="11"/>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145</Words>
  <Characters>831</Characters>
  <Lines>6</Lines>
  <Paragraphs>1</Paragraphs>
  <TotalTime>84</TotalTime>
  <ScaleCrop>false</ScaleCrop>
  <LinksUpToDate>false</LinksUpToDate>
  <CharactersWithSpaces>975</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2021-01-14T17:51:00Z</dcterms:created>
  <dc:creator>304</dc:creator>
  <cp:lastModifiedBy>user</cp:lastModifiedBy>
  <cp:lastPrinted>2023-05-08T10:05:21Z</cp:lastPrinted>
  <dcterms:modified xsi:type="dcterms:W3CDTF">2023-05-08T10:17:22Z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E0B95289D6A9487E929D566AED3E6E55</vt:lpwstr>
  </property>
</Properties>
</file>