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方正小标宋简体"/>
          <w:bCs/>
          <w:szCs w:val="32"/>
          <w:highlight w:val="none"/>
        </w:rPr>
      </w:pPr>
      <w:bookmarkStart w:id="0" w:name="_Toc72746605"/>
      <w:bookmarkStart w:id="1" w:name="_Toc59612804"/>
      <w:bookmarkStart w:id="2" w:name="_Toc61422541"/>
    </w:p>
    <w:p>
      <w:pPr>
        <w:pStyle w:val="2"/>
        <w:rPr>
          <w:highlight w:val="none"/>
        </w:rPr>
      </w:pPr>
    </w:p>
    <w:p>
      <w:pPr>
        <w:ind w:firstLine="0" w:firstLineChars="0"/>
        <w:jc w:val="center"/>
        <w:rPr>
          <w:rFonts w:eastAsia="方正小标宋简体"/>
          <w:bCs/>
          <w:sz w:val="44"/>
          <w:szCs w:val="44"/>
          <w:highlight w:val="none"/>
        </w:rPr>
      </w:pPr>
      <w:r>
        <w:rPr>
          <w:rFonts w:eastAsia="方正小标宋简体"/>
          <w:bCs/>
          <w:sz w:val="44"/>
          <w:szCs w:val="44"/>
          <w:highlight w:val="none"/>
        </w:rPr>
        <w:t>达州市</w:t>
      </w:r>
      <w:r>
        <w:rPr>
          <w:rFonts w:eastAsia="方正小标宋简体"/>
          <w:b/>
          <w:sz w:val="44"/>
          <w:szCs w:val="44"/>
          <w:highlight w:val="none"/>
        </w:rPr>
        <w:t>“</w:t>
      </w:r>
      <w:r>
        <w:rPr>
          <w:rFonts w:eastAsia="方正小标宋简体"/>
          <w:bCs/>
          <w:sz w:val="44"/>
          <w:szCs w:val="44"/>
          <w:highlight w:val="none"/>
        </w:rPr>
        <w:t>十四五</w:t>
      </w:r>
      <w:r>
        <w:rPr>
          <w:rFonts w:eastAsia="方正小标宋简体"/>
          <w:b/>
          <w:sz w:val="44"/>
          <w:szCs w:val="44"/>
          <w:highlight w:val="none"/>
        </w:rPr>
        <w:t>”</w:t>
      </w:r>
      <w:r>
        <w:rPr>
          <w:rFonts w:eastAsia="方正小标宋简体"/>
          <w:bCs/>
          <w:sz w:val="44"/>
          <w:szCs w:val="44"/>
          <w:highlight w:val="none"/>
        </w:rPr>
        <w:t>农业农村现代化规划</w:t>
      </w:r>
    </w:p>
    <w:p>
      <w:pPr>
        <w:ind w:firstLine="0" w:firstLineChars="0"/>
        <w:jc w:val="center"/>
        <w:rPr>
          <w:b/>
          <w:bCs/>
          <w:szCs w:val="32"/>
          <w:highlight w:val="none"/>
        </w:rPr>
      </w:pPr>
    </w:p>
    <w:p>
      <w:pPr>
        <w:ind w:firstLine="0" w:firstLineChars="0"/>
        <w:jc w:val="center"/>
        <w:rPr>
          <w:rFonts w:eastAsia="方正楷体_GBK"/>
          <w:b/>
          <w:bCs/>
          <w:szCs w:val="32"/>
          <w:highlight w:val="none"/>
        </w:rPr>
      </w:pPr>
      <w:r>
        <w:rPr>
          <w:rFonts w:eastAsia="方正楷体_GBK"/>
          <w:b/>
          <w:bCs/>
          <w:szCs w:val="32"/>
          <w:highlight w:val="none"/>
        </w:rPr>
        <w:t>（</w:t>
      </w:r>
      <w:r>
        <w:rPr>
          <w:rFonts w:hint="eastAsia" w:eastAsia="方正楷体_GBK"/>
          <w:b/>
          <w:bCs/>
          <w:szCs w:val="32"/>
          <w:highlight w:val="none"/>
        </w:rPr>
        <w:t>征求意见</w:t>
      </w:r>
      <w:r>
        <w:rPr>
          <w:rFonts w:hint="eastAsia" w:ascii="宋体" w:hAnsi="宋体" w:eastAsia="宋体" w:cs="宋体"/>
          <w:b/>
          <w:bCs/>
          <w:szCs w:val="32"/>
          <w:highlight w:val="none"/>
        </w:rPr>
        <w:t>稿</w:t>
      </w:r>
      <w:r>
        <w:rPr>
          <w:rFonts w:hint="eastAsia" w:ascii="___WRD_EMBED_SUB_44" w:hAnsi="___WRD_EMBED_SUB_44" w:eastAsia="___WRD_EMBED_SUB_44" w:cs="___WRD_EMBED_SUB_44"/>
          <w:b/>
          <w:bCs/>
          <w:szCs w:val="32"/>
          <w:highlight w:val="none"/>
        </w:rPr>
        <w:t>）</w:t>
      </w: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jc w:val="center"/>
        <w:rPr>
          <w:szCs w:val="32"/>
          <w:highlight w:val="none"/>
        </w:rPr>
      </w:pPr>
    </w:p>
    <w:p>
      <w:pPr>
        <w:ind w:firstLine="0" w:firstLineChars="0"/>
        <w:rPr>
          <w:highlight w:val="none"/>
        </w:rPr>
      </w:pPr>
    </w:p>
    <w:p>
      <w:pPr>
        <w:ind w:firstLine="0" w:firstLineChars="0"/>
        <w:rPr>
          <w:highlight w:val="none"/>
        </w:rPr>
      </w:pPr>
    </w:p>
    <w:p>
      <w:pPr>
        <w:ind w:firstLine="0" w:firstLineChars="0"/>
        <w:jc w:val="center"/>
        <w:rPr>
          <w:b/>
          <w:bCs/>
          <w:szCs w:val="32"/>
          <w:highlight w:val="none"/>
        </w:rPr>
      </w:pPr>
    </w:p>
    <w:p>
      <w:pPr>
        <w:ind w:firstLine="0" w:firstLineChars="0"/>
        <w:jc w:val="center"/>
        <w:rPr>
          <w:highlight w:val="none"/>
        </w:rPr>
      </w:pPr>
    </w:p>
    <w:p>
      <w:pPr>
        <w:ind w:firstLine="0" w:firstLineChars="0"/>
        <w:jc w:val="center"/>
        <w:rPr>
          <w:rFonts w:eastAsia="方正黑体_GBK"/>
          <w:bCs/>
          <w:szCs w:val="32"/>
          <w:highlight w:val="none"/>
        </w:rPr>
      </w:pPr>
      <w:r>
        <w:rPr>
          <w:rFonts w:eastAsia="方正黑体_GBK"/>
          <w:bCs/>
          <w:szCs w:val="32"/>
          <w:highlight w:val="none"/>
        </w:rPr>
        <w:t>达州市农业农村局</w:t>
      </w:r>
    </w:p>
    <w:p>
      <w:pPr>
        <w:ind w:firstLine="0" w:firstLineChars="0"/>
        <w:jc w:val="center"/>
        <w:rPr>
          <w:rFonts w:eastAsia="方正黑体_GBK"/>
          <w:bCs/>
          <w:szCs w:val="32"/>
          <w:highlight w:val="none"/>
        </w:rPr>
      </w:pPr>
      <w:r>
        <w:rPr>
          <w:rFonts w:eastAsia="方正黑体_GBK"/>
          <w:bCs/>
          <w:szCs w:val="32"/>
          <w:highlight w:val="none"/>
        </w:rPr>
        <w:t>2021年</w:t>
      </w:r>
      <w:r>
        <w:rPr>
          <w:rFonts w:hint="eastAsia" w:eastAsia="方正黑体_GBK"/>
          <w:bCs/>
          <w:szCs w:val="32"/>
          <w:highlight w:val="none"/>
        </w:rPr>
        <w:t>6</w:t>
      </w:r>
      <w:r>
        <w:rPr>
          <w:rFonts w:eastAsia="方正黑体_GBK"/>
          <w:bCs/>
          <w:szCs w:val="32"/>
          <w:highlight w:val="none"/>
        </w:rPr>
        <w:t>月</w:t>
      </w:r>
    </w:p>
    <w:p>
      <w:pPr>
        <w:ind w:firstLine="0" w:firstLineChars="0"/>
        <w:rPr>
          <w:highlight w:val="none"/>
        </w:rPr>
      </w:pPr>
    </w:p>
    <w:p>
      <w:pPr>
        <w:pStyle w:val="2"/>
        <w:rPr>
          <w:highlight w:val="none"/>
        </w:rPr>
      </w:pPr>
    </w:p>
    <w:p>
      <w:pPr>
        <w:pStyle w:val="2"/>
        <w:rPr>
          <w:highlight w:val="none"/>
        </w:rPr>
      </w:pPr>
    </w:p>
    <w:p>
      <w:pPr>
        <w:pStyle w:val="2"/>
        <w:rPr>
          <w:highlight w:val="none"/>
        </w:rPr>
      </w:pPr>
    </w:p>
    <w:p>
      <w:pPr>
        <w:ind w:firstLine="0" w:firstLineChars="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850" w:gutter="0"/>
          <w:pgNumType w:fmt="numberInDash"/>
          <w:cols w:space="0" w:num="1"/>
          <w:docGrid w:type="lines" w:linePitch="435" w:charSpace="0"/>
        </w:sectPr>
      </w:pPr>
    </w:p>
    <w:sdt>
      <w:sdtPr>
        <w:rPr>
          <w:rFonts w:ascii="Times New Roman" w:hAnsi="Times New Roman" w:eastAsia="方正仿宋_GBK" w:cs="Times New Roman"/>
          <w:color w:val="auto"/>
          <w:kern w:val="2"/>
          <w:szCs w:val="24"/>
          <w:highlight w:val="none"/>
          <w:lang w:val="zh-CN"/>
        </w:rPr>
        <w:id w:val="1603064430"/>
        <w:docPartObj>
          <w:docPartGallery w:val="Table of Contents"/>
          <w:docPartUnique/>
        </w:docPartObj>
      </w:sdtPr>
      <w:sdtEndPr>
        <w:rPr>
          <w:rFonts w:ascii="Times New Roman" w:hAnsi="Times New Roman" w:eastAsia="方正仿宋_GBK" w:cs="Times New Roman"/>
          <w:b/>
          <w:bCs/>
          <w:color w:val="auto"/>
          <w:kern w:val="2"/>
          <w:szCs w:val="24"/>
          <w:highlight w:val="none"/>
          <w:lang w:val="zh-CN"/>
        </w:rPr>
      </w:sdtEndPr>
      <w:sdtContent>
        <w:p>
          <w:pPr>
            <w:pStyle w:val="61"/>
            <w:spacing w:line="440" w:lineRule="exact"/>
            <w:jc w:val="center"/>
            <w:rPr>
              <w:rFonts w:ascii="Times New Roman" w:hAnsi="Times New Roman" w:eastAsia="方正小标宋简体" w:cs="Times New Roman"/>
              <w:bCs/>
              <w:color w:val="auto"/>
              <w:highlight w:val="none"/>
              <w:lang w:val="zh-CN"/>
            </w:rPr>
          </w:pPr>
          <w:r>
            <w:rPr>
              <w:rFonts w:ascii="Times New Roman" w:hAnsi="Times New Roman" w:eastAsia="方正小标宋简体" w:cs="Times New Roman"/>
              <w:bCs/>
              <w:color w:val="auto"/>
              <w:highlight w:val="none"/>
              <w:lang w:val="zh-CN"/>
            </w:rPr>
            <w:t>目录</w:t>
          </w:r>
        </w:p>
        <w:p>
          <w:pPr>
            <w:pStyle w:val="16"/>
            <w:spacing w:line="440" w:lineRule="exact"/>
            <w:ind w:firstLine="0" w:firstLineChars="0"/>
            <w:rPr>
              <w:b w:val="0"/>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"_Toc73979836" </w:instrText>
          </w:r>
          <w:r>
            <w:rPr>
              <w:highlight w:val="none"/>
            </w:rPr>
            <w:fldChar w:fldCharType="separate"/>
          </w:r>
          <w:r>
            <w:rPr>
              <w:rStyle w:val="32"/>
              <w:highlight w:val="none"/>
            </w:rPr>
            <w:t>前  言</w:t>
          </w:r>
          <w:r>
            <w:rPr>
              <w:highlight w:val="none"/>
            </w:rPr>
            <w:tab/>
          </w:r>
          <w:r>
            <w:rPr>
              <w:highlight w:val="none"/>
            </w:rPr>
            <w:fldChar w:fldCharType="begin"/>
          </w:r>
          <w:r>
            <w:rPr>
              <w:highlight w:val="none"/>
            </w:rPr>
            <w:instrText xml:space="preserve"> PAGEREF _Toc73979836 \h </w:instrText>
          </w:r>
          <w:r>
            <w:rPr>
              <w:highlight w:val="none"/>
            </w:rPr>
            <w:fldChar w:fldCharType="separate"/>
          </w:r>
          <w:r>
            <w:rPr>
              <w:highlight w:val="none"/>
            </w:rPr>
            <w:t>- 1 -</w:t>
          </w:r>
          <w:r>
            <w:rPr>
              <w:highlight w:val="none"/>
            </w:rPr>
            <w:fldChar w:fldCharType="end"/>
          </w:r>
          <w:r>
            <w:rPr>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"_Toc73979837" </w:instrText>
          </w:r>
          <w:r>
            <w:rPr>
              <w:highlight w:val="none"/>
            </w:rPr>
            <w:fldChar w:fldCharType="separate"/>
          </w:r>
          <w:r>
            <w:rPr>
              <w:rStyle w:val="32"/>
              <w:highlight w:val="none"/>
            </w:rPr>
            <w:t>第一篇  开启全面推进农业农村现代化新征程</w:t>
          </w:r>
          <w:r>
            <w:rPr>
              <w:highlight w:val="none"/>
            </w:rPr>
            <w:tab/>
          </w:r>
          <w:r>
            <w:rPr>
              <w:highlight w:val="none"/>
            </w:rPr>
            <w:fldChar w:fldCharType="begin"/>
          </w:r>
          <w:r>
            <w:rPr>
              <w:highlight w:val="none"/>
            </w:rPr>
            <w:instrText xml:space="preserve"> PAGEREF _Toc73979837 \h </w:instrText>
          </w:r>
          <w:r>
            <w:rPr>
              <w:highlight w:val="none"/>
            </w:rPr>
            <w:fldChar w:fldCharType="separate"/>
          </w:r>
          <w:r>
            <w:rPr>
              <w:highlight w:val="none"/>
            </w:rPr>
            <w:t>- 2 -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"_Toc73979838" </w:instrText>
          </w:r>
          <w:r>
            <w:rPr>
              <w:highlight w:val="none"/>
            </w:rPr>
            <w:fldChar w:fldCharType="separate"/>
          </w:r>
          <w:r>
            <w:rPr>
              <w:rStyle w:val="32"/>
              <w:bCs/>
              <w:sz w:val="28"/>
              <w:szCs w:val="28"/>
              <w:highlight w:val="none"/>
            </w:rPr>
            <w:t>第一章  发展基础</w:t>
          </w:r>
          <w:r>
            <w:rPr>
              <w:sz w:val="28"/>
              <w:szCs w:val="28"/>
              <w:highlight w:val="none"/>
            </w:rPr>
            <w:tab/>
          </w:r>
          <w:r>
            <w:rPr>
              <w:sz w:val="28"/>
              <w:szCs w:val="28"/>
              <w:highlight w:val="none"/>
            </w:rPr>
            <w:fldChar w:fldCharType="begin"/>
          </w:r>
          <w:r>
            <w:rPr>
              <w:sz w:val="28"/>
              <w:szCs w:val="28"/>
              <w:highlight w:val="none"/>
            </w:rPr>
            <w:instrText xml:space="preserve"> PAGEREF _Toc73979838 \h </w:instrText>
          </w:r>
          <w:r>
            <w:rPr>
              <w:sz w:val="28"/>
              <w:szCs w:val="28"/>
              <w:highlight w:val="none"/>
            </w:rPr>
            <w:fldChar w:fldCharType="separate"/>
          </w:r>
          <w:r>
            <w:rPr>
              <w:sz w:val="28"/>
              <w:szCs w:val="28"/>
              <w:highlight w:val="none"/>
            </w:rPr>
            <w:t>- 2 -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"_Toc73979839" </w:instrText>
          </w:r>
          <w:r>
            <w:rPr>
              <w:highlight w:val="none"/>
            </w:rPr>
            <w:fldChar w:fldCharType="separate"/>
          </w:r>
          <w:r>
            <w:rPr>
              <w:rStyle w:val="32"/>
              <w:bCs/>
              <w:sz w:val="28"/>
              <w:szCs w:val="28"/>
              <w:highlight w:val="none"/>
            </w:rPr>
            <w:t>第二章  面临形势</w:t>
          </w:r>
          <w:r>
            <w:rPr>
              <w:sz w:val="28"/>
              <w:szCs w:val="28"/>
              <w:highlight w:val="none"/>
            </w:rPr>
            <w:tab/>
          </w:r>
          <w:r>
            <w:rPr>
              <w:sz w:val="28"/>
              <w:szCs w:val="28"/>
              <w:highlight w:val="none"/>
            </w:rPr>
            <w:fldChar w:fldCharType="begin"/>
          </w:r>
          <w:r>
            <w:rPr>
              <w:sz w:val="28"/>
              <w:szCs w:val="28"/>
              <w:highlight w:val="none"/>
            </w:rPr>
            <w:instrText xml:space="preserve"> PAGEREF _Toc73979839 \h </w:instrText>
          </w:r>
          <w:r>
            <w:rPr>
              <w:sz w:val="28"/>
              <w:szCs w:val="28"/>
              <w:highlight w:val="none"/>
            </w:rPr>
            <w:fldChar w:fldCharType="separate"/>
          </w:r>
          <w:r>
            <w:rPr>
              <w:sz w:val="28"/>
              <w:szCs w:val="28"/>
              <w:highlight w:val="none"/>
            </w:rPr>
            <w:t>- 8 -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"_Toc73979840" </w:instrText>
          </w:r>
          <w:r>
            <w:rPr>
              <w:highlight w:val="none"/>
            </w:rPr>
            <w:fldChar w:fldCharType="separate"/>
          </w:r>
          <w:r>
            <w:rPr>
              <w:rStyle w:val="32"/>
              <w:bCs/>
              <w:sz w:val="28"/>
              <w:szCs w:val="28"/>
              <w:highlight w:val="none"/>
            </w:rPr>
            <w:t>第三章  指导思想</w:t>
          </w:r>
          <w:r>
            <w:rPr>
              <w:sz w:val="28"/>
              <w:szCs w:val="28"/>
              <w:highlight w:val="none"/>
            </w:rPr>
            <w:tab/>
          </w:r>
          <w:r>
            <w:rPr>
              <w:sz w:val="28"/>
              <w:szCs w:val="28"/>
              <w:highlight w:val="none"/>
            </w:rPr>
            <w:fldChar w:fldCharType="begin"/>
          </w:r>
          <w:r>
            <w:rPr>
              <w:sz w:val="28"/>
              <w:szCs w:val="28"/>
              <w:highlight w:val="none"/>
            </w:rPr>
            <w:instrText xml:space="preserve"> PAGEREF _Toc73979840 \h </w:instrText>
          </w:r>
          <w:r>
            <w:rPr>
              <w:sz w:val="28"/>
              <w:szCs w:val="28"/>
              <w:highlight w:val="none"/>
            </w:rPr>
            <w:fldChar w:fldCharType="separate"/>
          </w:r>
          <w:r>
            <w:rPr>
              <w:sz w:val="28"/>
              <w:szCs w:val="28"/>
              <w:highlight w:val="none"/>
            </w:rPr>
            <w:t>- 11 -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"_Toc73979841" </w:instrText>
          </w:r>
          <w:r>
            <w:rPr>
              <w:highlight w:val="none"/>
            </w:rPr>
            <w:fldChar w:fldCharType="separate"/>
          </w:r>
          <w:r>
            <w:rPr>
              <w:rStyle w:val="32"/>
              <w:bCs/>
              <w:sz w:val="28"/>
              <w:szCs w:val="28"/>
              <w:highlight w:val="none"/>
            </w:rPr>
            <w:t>第四章  基本原则</w:t>
          </w:r>
          <w:r>
            <w:rPr>
              <w:sz w:val="28"/>
              <w:szCs w:val="28"/>
              <w:highlight w:val="none"/>
            </w:rPr>
            <w:tab/>
          </w:r>
          <w:r>
            <w:rPr>
              <w:sz w:val="28"/>
              <w:szCs w:val="28"/>
              <w:highlight w:val="none"/>
            </w:rPr>
            <w:fldChar w:fldCharType="begin"/>
          </w:r>
          <w:r>
            <w:rPr>
              <w:sz w:val="28"/>
              <w:szCs w:val="28"/>
              <w:highlight w:val="none"/>
            </w:rPr>
            <w:instrText xml:space="preserve"> PAGEREF _Toc73979841 \h </w:instrText>
          </w:r>
          <w:r>
            <w:rPr>
              <w:sz w:val="28"/>
              <w:szCs w:val="28"/>
              <w:highlight w:val="none"/>
            </w:rPr>
            <w:fldChar w:fldCharType="separate"/>
          </w:r>
          <w:r>
            <w:rPr>
              <w:sz w:val="28"/>
              <w:szCs w:val="28"/>
              <w:highlight w:val="none"/>
            </w:rPr>
            <w:t>- 12 -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"_Toc73979842" </w:instrText>
          </w:r>
          <w:r>
            <w:rPr>
              <w:highlight w:val="none"/>
            </w:rPr>
            <w:fldChar w:fldCharType="separate"/>
          </w:r>
          <w:r>
            <w:rPr>
              <w:rStyle w:val="32"/>
              <w:bCs/>
              <w:sz w:val="28"/>
              <w:szCs w:val="28"/>
              <w:highlight w:val="none"/>
            </w:rPr>
            <w:t>第五章  发展目标</w:t>
          </w:r>
          <w:r>
            <w:rPr>
              <w:sz w:val="28"/>
              <w:szCs w:val="28"/>
              <w:highlight w:val="none"/>
            </w:rPr>
            <w:tab/>
          </w:r>
          <w:r>
            <w:rPr>
              <w:sz w:val="28"/>
              <w:szCs w:val="28"/>
              <w:highlight w:val="none"/>
            </w:rPr>
            <w:fldChar w:fldCharType="begin"/>
          </w:r>
          <w:r>
            <w:rPr>
              <w:sz w:val="28"/>
              <w:szCs w:val="28"/>
              <w:highlight w:val="none"/>
            </w:rPr>
            <w:instrText xml:space="preserve"> PAGEREF _Toc73979842 \h </w:instrText>
          </w:r>
          <w:r>
            <w:rPr>
              <w:sz w:val="28"/>
              <w:szCs w:val="28"/>
              <w:highlight w:val="none"/>
            </w:rPr>
            <w:fldChar w:fldCharType="separate"/>
          </w:r>
          <w:r>
            <w:rPr>
              <w:sz w:val="28"/>
              <w:szCs w:val="28"/>
              <w:highlight w:val="none"/>
            </w:rPr>
            <w:t>- 13 -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"_Toc73979843" </w:instrText>
          </w:r>
          <w:r>
            <w:rPr>
              <w:highlight w:val="none"/>
            </w:rPr>
            <w:fldChar w:fldCharType="separate"/>
          </w:r>
          <w:r>
            <w:rPr>
              <w:rStyle w:val="32"/>
              <w:highlight w:val="none"/>
            </w:rPr>
            <w:t>第二篇  强农兴农  全面实施农业现代化</w:t>
          </w:r>
          <w:r>
            <w:rPr>
              <w:highlight w:val="none"/>
            </w:rPr>
            <w:tab/>
          </w:r>
          <w:r>
            <w:rPr>
              <w:highlight w:val="none"/>
            </w:rPr>
            <w:fldChar w:fldCharType="begin"/>
          </w:r>
          <w:r>
            <w:rPr>
              <w:highlight w:val="none"/>
            </w:rPr>
            <w:instrText xml:space="preserve"> PAGEREF _Toc73979843 \h </w:instrText>
          </w:r>
          <w:r>
            <w:rPr>
              <w:highlight w:val="none"/>
            </w:rPr>
            <w:fldChar w:fldCharType="separate"/>
          </w:r>
          <w:r>
            <w:rPr>
              <w:highlight w:val="none"/>
            </w:rPr>
            <w:t>- 17 -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"_Toc73979844" </w:instrText>
          </w:r>
          <w:r>
            <w:rPr>
              <w:highlight w:val="none"/>
            </w:rPr>
            <w:fldChar w:fldCharType="separate"/>
          </w:r>
          <w:r>
            <w:rPr>
              <w:rStyle w:val="32"/>
              <w:bCs/>
              <w:sz w:val="28"/>
              <w:szCs w:val="28"/>
              <w:highlight w:val="none"/>
            </w:rPr>
            <w:t>第一章  优化农业产业布局  推进农业结构战略调整</w:t>
          </w:r>
          <w:r>
            <w:rPr>
              <w:sz w:val="28"/>
              <w:szCs w:val="28"/>
              <w:highlight w:val="none"/>
            </w:rPr>
            <w:tab/>
          </w:r>
          <w:r>
            <w:rPr>
              <w:sz w:val="28"/>
              <w:szCs w:val="28"/>
              <w:highlight w:val="none"/>
            </w:rPr>
            <w:fldChar w:fldCharType="begin"/>
          </w:r>
          <w:r>
            <w:rPr>
              <w:sz w:val="28"/>
              <w:szCs w:val="28"/>
              <w:highlight w:val="none"/>
            </w:rPr>
            <w:instrText xml:space="preserve"> PAGEREF _Toc73979844 \h </w:instrText>
          </w:r>
          <w:r>
            <w:rPr>
              <w:sz w:val="28"/>
              <w:szCs w:val="28"/>
              <w:highlight w:val="none"/>
            </w:rPr>
            <w:fldChar w:fldCharType="separate"/>
          </w:r>
          <w:r>
            <w:rPr>
              <w:sz w:val="28"/>
              <w:szCs w:val="28"/>
              <w:highlight w:val="none"/>
            </w:rPr>
            <w:t>- 17 -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"_Toc73979845" </w:instrText>
          </w:r>
          <w:r>
            <w:rPr>
              <w:highlight w:val="none"/>
            </w:rPr>
            <w:fldChar w:fldCharType="separate"/>
          </w:r>
          <w:r>
            <w:rPr>
              <w:rStyle w:val="32"/>
              <w:bCs/>
              <w:sz w:val="28"/>
              <w:szCs w:val="28"/>
              <w:highlight w:val="none"/>
            </w:rPr>
            <w:t>第二章  明确重点发展方向，推进农业产业转型升级</w:t>
          </w:r>
          <w:r>
            <w:rPr>
              <w:sz w:val="28"/>
              <w:szCs w:val="28"/>
              <w:highlight w:val="none"/>
            </w:rPr>
            <w:tab/>
          </w:r>
          <w:r>
            <w:rPr>
              <w:sz w:val="28"/>
              <w:szCs w:val="28"/>
              <w:highlight w:val="none"/>
            </w:rPr>
            <w:fldChar w:fldCharType="begin"/>
          </w:r>
          <w:r>
            <w:rPr>
              <w:sz w:val="28"/>
              <w:szCs w:val="28"/>
              <w:highlight w:val="none"/>
            </w:rPr>
            <w:instrText xml:space="preserve"> PAGEREF _Toc73979845 \h </w:instrText>
          </w:r>
          <w:r>
            <w:rPr>
              <w:sz w:val="28"/>
              <w:szCs w:val="28"/>
              <w:highlight w:val="none"/>
            </w:rPr>
            <w:fldChar w:fldCharType="separate"/>
          </w:r>
          <w:r>
            <w:rPr>
              <w:sz w:val="28"/>
              <w:szCs w:val="28"/>
              <w:highlight w:val="none"/>
            </w:rPr>
            <w:t>- 20 -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"_Toc73979846" </w:instrText>
          </w:r>
          <w:r>
            <w:rPr>
              <w:highlight w:val="none"/>
            </w:rPr>
            <w:fldChar w:fldCharType="separate"/>
          </w:r>
          <w:r>
            <w:rPr>
              <w:rStyle w:val="32"/>
              <w:sz w:val="28"/>
              <w:szCs w:val="28"/>
              <w:highlight w:val="none"/>
            </w:rPr>
            <w:t>第一节  加快建设现代农业园区（现代化示范区）</w:t>
          </w:r>
          <w:r>
            <w:rPr>
              <w:sz w:val="28"/>
              <w:szCs w:val="28"/>
              <w:highlight w:val="none"/>
            </w:rPr>
            <w:tab/>
          </w:r>
          <w:r>
            <w:rPr>
              <w:sz w:val="28"/>
              <w:szCs w:val="28"/>
              <w:highlight w:val="none"/>
            </w:rPr>
            <w:fldChar w:fldCharType="begin"/>
          </w:r>
          <w:r>
            <w:rPr>
              <w:sz w:val="28"/>
              <w:szCs w:val="28"/>
              <w:highlight w:val="none"/>
            </w:rPr>
            <w:instrText xml:space="preserve"> PAGEREF _Toc73979846 \h </w:instrText>
          </w:r>
          <w:r>
            <w:rPr>
              <w:sz w:val="28"/>
              <w:szCs w:val="28"/>
              <w:highlight w:val="none"/>
            </w:rPr>
            <w:fldChar w:fldCharType="separate"/>
          </w:r>
          <w:r>
            <w:rPr>
              <w:sz w:val="28"/>
              <w:szCs w:val="28"/>
              <w:highlight w:val="none"/>
            </w:rPr>
            <w:t>- 20 -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"_Toc73979847" </w:instrText>
          </w:r>
          <w:r>
            <w:rPr>
              <w:highlight w:val="none"/>
            </w:rPr>
            <w:fldChar w:fldCharType="separate"/>
          </w:r>
          <w:r>
            <w:rPr>
              <w:rStyle w:val="32"/>
              <w:sz w:val="28"/>
              <w:szCs w:val="28"/>
              <w:highlight w:val="none"/>
            </w:rPr>
            <w:t>第二节  重点发展9大特色优势产业</w:t>
          </w:r>
          <w:r>
            <w:rPr>
              <w:sz w:val="28"/>
              <w:szCs w:val="28"/>
              <w:highlight w:val="none"/>
            </w:rPr>
            <w:tab/>
          </w:r>
          <w:r>
            <w:rPr>
              <w:sz w:val="28"/>
              <w:szCs w:val="28"/>
              <w:highlight w:val="none"/>
            </w:rPr>
            <w:fldChar w:fldCharType="begin"/>
          </w:r>
          <w:r>
            <w:rPr>
              <w:sz w:val="28"/>
              <w:szCs w:val="28"/>
              <w:highlight w:val="none"/>
            </w:rPr>
            <w:instrText xml:space="preserve"> PAGEREF _Toc73979847 \h </w:instrText>
          </w:r>
          <w:r>
            <w:rPr>
              <w:sz w:val="28"/>
              <w:szCs w:val="28"/>
              <w:highlight w:val="none"/>
            </w:rPr>
            <w:fldChar w:fldCharType="separate"/>
          </w:r>
          <w:r>
            <w:rPr>
              <w:sz w:val="28"/>
              <w:szCs w:val="28"/>
              <w:highlight w:val="none"/>
            </w:rPr>
            <w:t>- 21 -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"_Toc73979848" </w:instrText>
          </w:r>
          <w:r>
            <w:rPr>
              <w:highlight w:val="none"/>
            </w:rPr>
            <w:fldChar w:fldCharType="separate"/>
          </w:r>
          <w:r>
            <w:rPr>
              <w:rStyle w:val="32"/>
              <w:sz w:val="28"/>
              <w:szCs w:val="28"/>
              <w:highlight w:val="none"/>
            </w:rPr>
            <w:t>第三节  创新发展3大先导性产业</w:t>
          </w:r>
          <w:r>
            <w:rPr>
              <w:sz w:val="28"/>
              <w:szCs w:val="28"/>
              <w:highlight w:val="none"/>
            </w:rPr>
            <w:tab/>
          </w:r>
          <w:r>
            <w:rPr>
              <w:sz w:val="28"/>
              <w:szCs w:val="28"/>
              <w:highlight w:val="none"/>
            </w:rPr>
            <w:fldChar w:fldCharType="begin"/>
          </w:r>
          <w:r>
            <w:rPr>
              <w:sz w:val="28"/>
              <w:szCs w:val="28"/>
              <w:highlight w:val="none"/>
            </w:rPr>
            <w:instrText xml:space="preserve"> PAGEREF _Toc73979848 \h </w:instrText>
          </w:r>
          <w:r>
            <w:rPr>
              <w:sz w:val="28"/>
              <w:szCs w:val="28"/>
              <w:highlight w:val="none"/>
            </w:rPr>
            <w:fldChar w:fldCharType="separate"/>
          </w:r>
          <w:r>
            <w:rPr>
              <w:sz w:val="28"/>
              <w:szCs w:val="28"/>
              <w:highlight w:val="none"/>
            </w:rPr>
            <w:t>- 32 -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"_Toc73979849" </w:instrText>
          </w:r>
          <w:r>
            <w:rPr>
              <w:highlight w:val="none"/>
            </w:rPr>
            <w:fldChar w:fldCharType="separate"/>
          </w:r>
          <w:r>
            <w:rPr>
              <w:rStyle w:val="32"/>
              <w:bCs/>
              <w:sz w:val="28"/>
              <w:szCs w:val="28"/>
              <w:highlight w:val="none"/>
            </w:rPr>
            <w:t>第三章  推进一二三产业融合发展，加快产业体系现代化</w:t>
          </w:r>
          <w:r>
            <w:rPr>
              <w:sz w:val="28"/>
              <w:szCs w:val="28"/>
              <w:highlight w:val="none"/>
            </w:rPr>
            <w:tab/>
          </w:r>
          <w:r>
            <w:rPr>
              <w:sz w:val="28"/>
              <w:szCs w:val="28"/>
              <w:highlight w:val="none"/>
            </w:rPr>
            <w:fldChar w:fldCharType="begin"/>
          </w:r>
          <w:r>
            <w:rPr>
              <w:sz w:val="28"/>
              <w:szCs w:val="28"/>
              <w:highlight w:val="none"/>
            </w:rPr>
            <w:instrText xml:space="preserve"> PAGEREF _Toc73979849 \h </w:instrText>
          </w:r>
          <w:r>
            <w:rPr>
              <w:sz w:val="28"/>
              <w:szCs w:val="28"/>
              <w:highlight w:val="none"/>
            </w:rPr>
            <w:fldChar w:fldCharType="separate"/>
          </w:r>
          <w:r>
            <w:rPr>
              <w:sz w:val="28"/>
              <w:szCs w:val="28"/>
              <w:highlight w:val="none"/>
            </w:rPr>
            <w:t>- 35 -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"_Toc73979850" </w:instrText>
          </w:r>
          <w:r>
            <w:rPr>
              <w:highlight w:val="none"/>
            </w:rPr>
            <w:fldChar w:fldCharType="separate"/>
          </w:r>
          <w:r>
            <w:rPr>
              <w:rStyle w:val="32"/>
              <w:sz w:val="28"/>
              <w:szCs w:val="28"/>
              <w:highlight w:val="none"/>
            </w:rPr>
            <w:t>第一节  延伸产业链，做强农产品加工业</w:t>
          </w:r>
          <w:r>
            <w:rPr>
              <w:sz w:val="28"/>
              <w:szCs w:val="28"/>
              <w:highlight w:val="none"/>
            </w:rPr>
            <w:tab/>
          </w:r>
          <w:r>
            <w:rPr>
              <w:sz w:val="28"/>
              <w:szCs w:val="28"/>
              <w:highlight w:val="none"/>
            </w:rPr>
            <w:fldChar w:fldCharType="begin"/>
          </w:r>
          <w:r>
            <w:rPr>
              <w:sz w:val="28"/>
              <w:szCs w:val="28"/>
              <w:highlight w:val="none"/>
            </w:rPr>
            <w:instrText xml:space="preserve"> PAGEREF _Toc73979850 \h </w:instrText>
          </w:r>
          <w:r>
            <w:rPr>
              <w:sz w:val="28"/>
              <w:szCs w:val="28"/>
              <w:highlight w:val="none"/>
            </w:rPr>
            <w:fldChar w:fldCharType="separate"/>
          </w:r>
          <w:r>
            <w:rPr>
              <w:sz w:val="28"/>
              <w:szCs w:val="28"/>
              <w:highlight w:val="none"/>
            </w:rPr>
            <w:t>- 35 -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"_Toc73979851" </w:instrText>
          </w:r>
          <w:r>
            <w:rPr>
              <w:highlight w:val="none"/>
            </w:rPr>
            <w:fldChar w:fldCharType="separate"/>
          </w:r>
          <w:r>
            <w:rPr>
              <w:rStyle w:val="32"/>
              <w:sz w:val="28"/>
              <w:szCs w:val="28"/>
              <w:highlight w:val="none"/>
            </w:rPr>
            <w:t>第二节  贯通供应链，完善烘干冷链物流体系</w:t>
          </w:r>
          <w:r>
            <w:rPr>
              <w:sz w:val="28"/>
              <w:szCs w:val="28"/>
              <w:highlight w:val="none"/>
            </w:rPr>
            <w:tab/>
          </w:r>
          <w:r>
            <w:rPr>
              <w:sz w:val="28"/>
              <w:szCs w:val="28"/>
              <w:highlight w:val="none"/>
            </w:rPr>
            <w:fldChar w:fldCharType="begin"/>
          </w:r>
          <w:r>
            <w:rPr>
              <w:sz w:val="28"/>
              <w:szCs w:val="28"/>
              <w:highlight w:val="none"/>
            </w:rPr>
            <w:instrText xml:space="preserve"> PAGEREF _Toc73979851 \h </w:instrText>
          </w:r>
          <w:r>
            <w:rPr>
              <w:sz w:val="28"/>
              <w:szCs w:val="28"/>
              <w:highlight w:val="none"/>
            </w:rPr>
            <w:fldChar w:fldCharType="separate"/>
          </w:r>
          <w:r>
            <w:rPr>
              <w:sz w:val="28"/>
              <w:szCs w:val="28"/>
              <w:highlight w:val="none"/>
            </w:rPr>
            <w:t>- 37 -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"_Toc73979852" </w:instrText>
          </w:r>
          <w:r>
            <w:rPr>
              <w:highlight w:val="none"/>
            </w:rPr>
            <w:fldChar w:fldCharType="separate"/>
          </w:r>
          <w:r>
            <w:rPr>
              <w:rStyle w:val="32"/>
              <w:sz w:val="28"/>
              <w:szCs w:val="28"/>
              <w:highlight w:val="none"/>
            </w:rPr>
            <w:t>第三节  提升价值链，发展农村新产业新业态</w:t>
          </w:r>
          <w:r>
            <w:rPr>
              <w:sz w:val="28"/>
              <w:szCs w:val="28"/>
              <w:highlight w:val="none"/>
            </w:rPr>
            <w:tab/>
          </w:r>
          <w:r>
            <w:rPr>
              <w:sz w:val="28"/>
              <w:szCs w:val="28"/>
              <w:highlight w:val="none"/>
            </w:rPr>
            <w:fldChar w:fldCharType="begin"/>
          </w:r>
          <w:r>
            <w:rPr>
              <w:sz w:val="28"/>
              <w:szCs w:val="28"/>
              <w:highlight w:val="none"/>
            </w:rPr>
            <w:instrText xml:space="preserve"> PAGEREF _Toc73979852 \h </w:instrText>
          </w:r>
          <w:r>
            <w:rPr>
              <w:sz w:val="28"/>
              <w:szCs w:val="28"/>
              <w:highlight w:val="none"/>
            </w:rPr>
            <w:fldChar w:fldCharType="separate"/>
          </w:r>
          <w:r>
            <w:rPr>
              <w:sz w:val="28"/>
              <w:szCs w:val="28"/>
              <w:highlight w:val="none"/>
            </w:rPr>
            <w:t>- 38 -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"_Toc73979853" </w:instrText>
          </w:r>
          <w:r>
            <w:rPr>
              <w:highlight w:val="none"/>
            </w:rPr>
            <w:fldChar w:fldCharType="separate"/>
          </w:r>
          <w:r>
            <w:rPr>
              <w:rStyle w:val="32"/>
              <w:sz w:val="28"/>
              <w:szCs w:val="28"/>
              <w:highlight w:val="none"/>
            </w:rPr>
            <w:t>第四节  强化创新链，提升农业科技支撑能力</w:t>
          </w:r>
          <w:r>
            <w:rPr>
              <w:sz w:val="28"/>
              <w:szCs w:val="28"/>
              <w:highlight w:val="none"/>
            </w:rPr>
            <w:tab/>
          </w:r>
          <w:r>
            <w:rPr>
              <w:sz w:val="28"/>
              <w:szCs w:val="28"/>
              <w:highlight w:val="none"/>
            </w:rPr>
            <w:fldChar w:fldCharType="begin"/>
          </w:r>
          <w:r>
            <w:rPr>
              <w:sz w:val="28"/>
              <w:szCs w:val="28"/>
              <w:highlight w:val="none"/>
            </w:rPr>
            <w:instrText xml:space="preserve"> PAGEREF _Toc73979853 \h </w:instrText>
          </w:r>
          <w:r>
            <w:rPr>
              <w:sz w:val="28"/>
              <w:szCs w:val="28"/>
              <w:highlight w:val="none"/>
            </w:rPr>
            <w:fldChar w:fldCharType="separate"/>
          </w:r>
          <w:r>
            <w:rPr>
              <w:sz w:val="28"/>
              <w:szCs w:val="28"/>
              <w:highlight w:val="none"/>
            </w:rPr>
            <w:t>- 40 -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"_Toc73979854" </w:instrText>
          </w:r>
          <w:r>
            <w:rPr>
              <w:highlight w:val="none"/>
            </w:rPr>
            <w:fldChar w:fldCharType="separate"/>
          </w:r>
          <w:r>
            <w:rPr>
              <w:rStyle w:val="32"/>
              <w:sz w:val="28"/>
              <w:szCs w:val="28"/>
              <w:highlight w:val="none"/>
            </w:rPr>
            <w:t>第五节  搭建安全链，提高农产品供给质量</w:t>
          </w:r>
          <w:r>
            <w:rPr>
              <w:sz w:val="28"/>
              <w:szCs w:val="28"/>
              <w:highlight w:val="none"/>
            </w:rPr>
            <w:tab/>
          </w:r>
          <w:r>
            <w:rPr>
              <w:sz w:val="28"/>
              <w:szCs w:val="28"/>
              <w:highlight w:val="none"/>
            </w:rPr>
            <w:fldChar w:fldCharType="begin"/>
          </w:r>
          <w:r>
            <w:rPr>
              <w:sz w:val="28"/>
              <w:szCs w:val="28"/>
              <w:highlight w:val="none"/>
            </w:rPr>
            <w:instrText xml:space="preserve"> PAGEREF _Toc73979854 \h </w:instrText>
          </w:r>
          <w:r>
            <w:rPr>
              <w:sz w:val="28"/>
              <w:szCs w:val="28"/>
              <w:highlight w:val="none"/>
            </w:rPr>
            <w:fldChar w:fldCharType="separate"/>
          </w:r>
          <w:r>
            <w:rPr>
              <w:sz w:val="28"/>
              <w:szCs w:val="28"/>
              <w:highlight w:val="none"/>
            </w:rPr>
            <w:t>- 42 -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"_Toc73979855" </w:instrText>
          </w:r>
          <w:r>
            <w:rPr>
              <w:highlight w:val="none"/>
            </w:rPr>
            <w:fldChar w:fldCharType="separate"/>
          </w:r>
          <w:r>
            <w:rPr>
              <w:rStyle w:val="32"/>
              <w:bCs/>
              <w:sz w:val="28"/>
              <w:szCs w:val="28"/>
              <w:highlight w:val="none"/>
            </w:rPr>
            <w:t>第四章  加强农业物质技术装备建设，加快生产体系现代化</w:t>
          </w:r>
          <w:r>
            <w:rPr>
              <w:sz w:val="28"/>
              <w:szCs w:val="28"/>
              <w:highlight w:val="none"/>
            </w:rPr>
            <w:tab/>
          </w:r>
          <w:r>
            <w:rPr>
              <w:sz w:val="28"/>
              <w:szCs w:val="28"/>
              <w:highlight w:val="none"/>
            </w:rPr>
            <w:fldChar w:fldCharType="begin"/>
          </w:r>
          <w:r>
            <w:rPr>
              <w:sz w:val="28"/>
              <w:szCs w:val="28"/>
              <w:highlight w:val="none"/>
            </w:rPr>
            <w:instrText xml:space="preserve"> PAGEREF _Toc73979855 \h </w:instrText>
          </w:r>
          <w:r>
            <w:rPr>
              <w:sz w:val="28"/>
              <w:szCs w:val="28"/>
              <w:highlight w:val="none"/>
            </w:rPr>
            <w:fldChar w:fldCharType="separate"/>
          </w:r>
          <w:r>
            <w:rPr>
              <w:sz w:val="28"/>
              <w:szCs w:val="28"/>
              <w:highlight w:val="none"/>
            </w:rPr>
            <w:t>- 43 -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"_Toc73979856" </w:instrText>
          </w:r>
          <w:r>
            <w:rPr>
              <w:highlight w:val="none"/>
            </w:rPr>
            <w:fldChar w:fldCharType="separate"/>
          </w:r>
          <w:r>
            <w:rPr>
              <w:rStyle w:val="32"/>
              <w:sz w:val="28"/>
              <w:szCs w:val="28"/>
              <w:highlight w:val="none"/>
            </w:rPr>
            <w:t>第一节  推进设施化，切实改善田间生产条件</w:t>
          </w:r>
          <w:r>
            <w:rPr>
              <w:sz w:val="28"/>
              <w:szCs w:val="28"/>
              <w:highlight w:val="none"/>
            </w:rPr>
            <w:tab/>
          </w:r>
          <w:r>
            <w:rPr>
              <w:sz w:val="28"/>
              <w:szCs w:val="28"/>
              <w:highlight w:val="none"/>
            </w:rPr>
            <w:fldChar w:fldCharType="begin"/>
          </w:r>
          <w:r>
            <w:rPr>
              <w:sz w:val="28"/>
              <w:szCs w:val="28"/>
              <w:highlight w:val="none"/>
            </w:rPr>
            <w:instrText xml:space="preserve"> PAGEREF _Toc73979856 \h </w:instrText>
          </w:r>
          <w:r>
            <w:rPr>
              <w:sz w:val="28"/>
              <w:szCs w:val="28"/>
              <w:highlight w:val="none"/>
            </w:rPr>
            <w:fldChar w:fldCharType="separate"/>
          </w:r>
          <w:r>
            <w:rPr>
              <w:sz w:val="28"/>
              <w:szCs w:val="28"/>
              <w:highlight w:val="none"/>
            </w:rPr>
            <w:t>- 43 -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"_Toc73979857" </w:instrText>
          </w:r>
          <w:r>
            <w:rPr>
              <w:highlight w:val="none"/>
            </w:rPr>
            <w:fldChar w:fldCharType="separate"/>
          </w:r>
          <w:r>
            <w:rPr>
              <w:rStyle w:val="32"/>
              <w:sz w:val="28"/>
              <w:szCs w:val="28"/>
              <w:highlight w:val="none"/>
            </w:rPr>
            <w:t>第二节  推进机械化，积极推广实用高效农机</w:t>
          </w:r>
          <w:r>
            <w:rPr>
              <w:sz w:val="28"/>
              <w:szCs w:val="28"/>
              <w:highlight w:val="none"/>
            </w:rPr>
            <w:tab/>
          </w:r>
          <w:r>
            <w:rPr>
              <w:sz w:val="28"/>
              <w:szCs w:val="28"/>
              <w:highlight w:val="none"/>
            </w:rPr>
            <w:fldChar w:fldCharType="begin"/>
          </w:r>
          <w:r>
            <w:rPr>
              <w:sz w:val="28"/>
              <w:szCs w:val="28"/>
              <w:highlight w:val="none"/>
            </w:rPr>
            <w:instrText xml:space="preserve"> PAGEREF _Toc73979857 \h </w:instrText>
          </w:r>
          <w:r>
            <w:rPr>
              <w:sz w:val="28"/>
              <w:szCs w:val="28"/>
              <w:highlight w:val="none"/>
            </w:rPr>
            <w:fldChar w:fldCharType="separate"/>
          </w:r>
          <w:r>
            <w:rPr>
              <w:sz w:val="28"/>
              <w:szCs w:val="28"/>
              <w:highlight w:val="none"/>
            </w:rPr>
            <w:t>- 44 -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"_Toc73979858" </w:instrText>
          </w:r>
          <w:r>
            <w:rPr>
              <w:highlight w:val="none"/>
            </w:rPr>
            <w:fldChar w:fldCharType="separate"/>
          </w:r>
          <w:r>
            <w:rPr>
              <w:rStyle w:val="32"/>
              <w:sz w:val="28"/>
              <w:szCs w:val="28"/>
              <w:highlight w:val="none"/>
            </w:rPr>
            <w:t>第三节  推进绿色化，大力发展生态循环农业</w:t>
          </w:r>
          <w:r>
            <w:rPr>
              <w:sz w:val="28"/>
              <w:szCs w:val="28"/>
              <w:highlight w:val="none"/>
            </w:rPr>
            <w:tab/>
          </w:r>
          <w:r>
            <w:rPr>
              <w:sz w:val="28"/>
              <w:szCs w:val="28"/>
              <w:highlight w:val="none"/>
            </w:rPr>
            <w:fldChar w:fldCharType="begin"/>
          </w:r>
          <w:r>
            <w:rPr>
              <w:sz w:val="28"/>
              <w:szCs w:val="28"/>
              <w:highlight w:val="none"/>
            </w:rPr>
            <w:instrText xml:space="preserve"> PAGEREF _Toc73979858 \h </w:instrText>
          </w:r>
          <w:r>
            <w:rPr>
              <w:sz w:val="28"/>
              <w:szCs w:val="28"/>
              <w:highlight w:val="none"/>
            </w:rPr>
            <w:fldChar w:fldCharType="separate"/>
          </w:r>
          <w:r>
            <w:rPr>
              <w:sz w:val="28"/>
              <w:szCs w:val="28"/>
              <w:highlight w:val="none"/>
            </w:rPr>
            <w:t>- 46 -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"_Toc73979859" </w:instrText>
          </w:r>
          <w:r>
            <w:rPr>
              <w:highlight w:val="none"/>
            </w:rPr>
            <w:fldChar w:fldCharType="separate"/>
          </w:r>
          <w:r>
            <w:rPr>
              <w:rStyle w:val="32"/>
              <w:sz w:val="28"/>
              <w:szCs w:val="28"/>
              <w:highlight w:val="none"/>
            </w:rPr>
            <w:t>第四节  推进数字化，深入推进智慧农业建设</w:t>
          </w:r>
          <w:r>
            <w:rPr>
              <w:sz w:val="28"/>
              <w:szCs w:val="28"/>
              <w:highlight w:val="none"/>
            </w:rPr>
            <w:tab/>
          </w:r>
          <w:r>
            <w:rPr>
              <w:sz w:val="28"/>
              <w:szCs w:val="28"/>
              <w:highlight w:val="none"/>
            </w:rPr>
            <w:fldChar w:fldCharType="begin"/>
          </w:r>
          <w:r>
            <w:rPr>
              <w:sz w:val="28"/>
              <w:szCs w:val="28"/>
              <w:highlight w:val="none"/>
            </w:rPr>
            <w:instrText xml:space="preserve"> PAGEREF _Toc73979859 \h </w:instrText>
          </w:r>
          <w:r>
            <w:rPr>
              <w:sz w:val="28"/>
              <w:szCs w:val="28"/>
              <w:highlight w:val="none"/>
            </w:rPr>
            <w:fldChar w:fldCharType="separate"/>
          </w:r>
          <w:r>
            <w:rPr>
              <w:sz w:val="28"/>
              <w:szCs w:val="28"/>
              <w:highlight w:val="none"/>
            </w:rPr>
            <w:t>- 48 -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"_Toc73979860" </w:instrText>
          </w:r>
          <w:r>
            <w:rPr>
              <w:highlight w:val="none"/>
            </w:rPr>
            <w:fldChar w:fldCharType="separate"/>
          </w:r>
          <w:r>
            <w:rPr>
              <w:rStyle w:val="32"/>
              <w:bCs/>
              <w:sz w:val="28"/>
              <w:szCs w:val="28"/>
              <w:highlight w:val="none"/>
            </w:rPr>
            <w:t>第五章  培育壮大新型农业经营主体，加快经营体系现代化</w:t>
          </w:r>
          <w:r>
            <w:rPr>
              <w:sz w:val="28"/>
              <w:szCs w:val="28"/>
              <w:highlight w:val="none"/>
            </w:rPr>
            <w:tab/>
          </w:r>
          <w:r>
            <w:rPr>
              <w:sz w:val="28"/>
              <w:szCs w:val="28"/>
              <w:highlight w:val="none"/>
            </w:rPr>
            <w:fldChar w:fldCharType="begin"/>
          </w:r>
          <w:r>
            <w:rPr>
              <w:sz w:val="28"/>
              <w:szCs w:val="28"/>
              <w:highlight w:val="none"/>
            </w:rPr>
            <w:instrText xml:space="preserve"> PAGEREF _Toc73979860 \h </w:instrText>
          </w:r>
          <w:r>
            <w:rPr>
              <w:sz w:val="28"/>
              <w:szCs w:val="28"/>
              <w:highlight w:val="none"/>
            </w:rPr>
            <w:fldChar w:fldCharType="separate"/>
          </w:r>
          <w:r>
            <w:rPr>
              <w:sz w:val="28"/>
              <w:szCs w:val="28"/>
              <w:highlight w:val="none"/>
            </w:rPr>
            <w:t>- 49 -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"_Toc73979861" </w:instrText>
          </w:r>
          <w:r>
            <w:rPr>
              <w:highlight w:val="none"/>
            </w:rPr>
            <w:fldChar w:fldCharType="separate"/>
          </w:r>
          <w:r>
            <w:rPr>
              <w:rStyle w:val="32"/>
              <w:sz w:val="28"/>
              <w:szCs w:val="28"/>
              <w:highlight w:val="none"/>
            </w:rPr>
            <w:t>第一节  发展现代农户家庭农场，提高农业综合效益</w:t>
          </w:r>
          <w:r>
            <w:rPr>
              <w:sz w:val="28"/>
              <w:szCs w:val="28"/>
              <w:highlight w:val="none"/>
            </w:rPr>
            <w:tab/>
          </w:r>
          <w:r>
            <w:rPr>
              <w:sz w:val="28"/>
              <w:szCs w:val="28"/>
              <w:highlight w:val="none"/>
            </w:rPr>
            <w:fldChar w:fldCharType="begin"/>
          </w:r>
          <w:r>
            <w:rPr>
              <w:sz w:val="28"/>
              <w:szCs w:val="28"/>
              <w:highlight w:val="none"/>
            </w:rPr>
            <w:instrText xml:space="preserve"> PAGEREF _Toc73979861 \h </w:instrText>
          </w:r>
          <w:r>
            <w:rPr>
              <w:sz w:val="28"/>
              <w:szCs w:val="28"/>
              <w:highlight w:val="none"/>
            </w:rPr>
            <w:fldChar w:fldCharType="separate"/>
          </w:r>
          <w:r>
            <w:rPr>
              <w:sz w:val="28"/>
              <w:szCs w:val="28"/>
              <w:highlight w:val="none"/>
            </w:rPr>
            <w:t>- 49 -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"_Toc73979862" </w:instrText>
          </w:r>
          <w:r>
            <w:rPr>
              <w:highlight w:val="none"/>
            </w:rPr>
            <w:fldChar w:fldCharType="separate"/>
          </w:r>
          <w:r>
            <w:rPr>
              <w:rStyle w:val="32"/>
              <w:sz w:val="28"/>
              <w:szCs w:val="28"/>
              <w:highlight w:val="none"/>
            </w:rPr>
            <w:t>第二节  推动农民合作社提档升级，增强为农服务能力</w:t>
          </w:r>
          <w:r>
            <w:rPr>
              <w:sz w:val="28"/>
              <w:szCs w:val="28"/>
              <w:highlight w:val="none"/>
            </w:rPr>
            <w:tab/>
          </w:r>
          <w:r>
            <w:rPr>
              <w:sz w:val="28"/>
              <w:szCs w:val="28"/>
              <w:highlight w:val="none"/>
            </w:rPr>
            <w:fldChar w:fldCharType="begin"/>
          </w:r>
          <w:r>
            <w:rPr>
              <w:sz w:val="28"/>
              <w:szCs w:val="28"/>
              <w:highlight w:val="none"/>
            </w:rPr>
            <w:instrText xml:space="preserve"> PAGEREF _Toc73979862 \h </w:instrText>
          </w:r>
          <w:r>
            <w:rPr>
              <w:sz w:val="28"/>
              <w:szCs w:val="28"/>
              <w:highlight w:val="none"/>
            </w:rPr>
            <w:fldChar w:fldCharType="separate"/>
          </w:r>
          <w:r>
            <w:rPr>
              <w:sz w:val="28"/>
              <w:szCs w:val="28"/>
              <w:highlight w:val="none"/>
            </w:rPr>
            <w:t>- 49 -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"_Toc73979863" </w:instrText>
          </w:r>
          <w:r>
            <w:rPr>
              <w:highlight w:val="none"/>
            </w:rPr>
            <w:fldChar w:fldCharType="separate"/>
          </w:r>
          <w:r>
            <w:rPr>
              <w:rStyle w:val="32"/>
              <w:sz w:val="28"/>
              <w:szCs w:val="28"/>
              <w:highlight w:val="none"/>
            </w:rPr>
            <w:t>第三节  支持龙头企业做大做强，加快农业产业化发展</w:t>
          </w:r>
          <w:r>
            <w:rPr>
              <w:sz w:val="28"/>
              <w:szCs w:val="28"/>
              <w:highlight w:val="none"/>
            </w:rPr>
            <w:tab/>
          </w:r>
          <w:r>
            <w:rPr>
              <w:sz w:val="28"/>
              <w:szCs w:val="28"/>
              <w:highlight w:val="none"/>
            </w:rPr>
            <w:fldChar w:fldCharType="begin"/>
          </w:r>
          <w:r>
            <w:rPr>
              <w:sz w:val="28"/>
              <w:szCs w:val="28"/>
              <w:highlight w:val="none"/>
            </w:rPr>
            <w:instrText xml:space="preserve"> PAGEREF _Toc73979863 \h </w:instrText>
          </w:r>
          <w:r>
            <w:rPr>
              <w:sz w:val="28"/>
              <w:szCs w:val="28"/>
              <w:highlight w:val="none"/>
            </w:rPr>
            <w:fldChar w:fldCharType="separate"/>
          </w:r>
          <w:r>
            <w:rPr>
              <w:sz w:val="28"/>
              <w:szCs w:val="28"/>
              <w:highlight w:val="none"/>
            </w:rPr>
            <w:t>- 50 -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pacing w:val="-4"/>
              <w:sz w:val="28"/>
              <w:szCs w:val="28"/>
              <w:highlight w:val="none"/>
            </w:rPr>
          </w:pPr>
          <w:r>
            <w:rPr>
              <w:highlight w:val="none"/>
            </w:rPr>
            <w:fldChar w:fldCharType="begin"/>
          </w:r>
          <w:r>
            <w:rPr>
              <w:highlight w:val="none"/>
            </w:rPr>
            <w:instrText xml:space="preserve"> HYPERLINK \l "_Toc73979864" </w:instrText>
          </w:r>
          <w:r>
            <w:rPr>
              <w:highlight w:val="none"/>
            </w:rPr>
            <w:fldChar w:fldCharType="separate"/>
          </w:r>
          <w:r>
            <w:rPr>
              <w:rStyle w:val="32"/>
              <w:spacing w:val="-4"/>
              <w:sz w:val="28"/>
              <w:szCs w:val="28"/>
              <w:highlight w:val="none"/>
            </w:rPr>
            <w:t>第四节  培育专业化社会化服务组织，助推现代农业发展</w:t>
          </w:r>
          <w:r>
            <w:rPr>
              <w:spacing w:val="-4"/>
              <w:sz w:val="28"/>
              <w:szCs w:val="28"/>
              <w:highlight w:val="none"/>
            </w:rPr>
            <w:tab/>
          </w:r>
          <w:r>
            <w:rPr>
              <w:spacing w:val="-4"/>
              <w:sz w:val="28"/>
              <w:szCs w:val="28"/>
              <w:highlight w:val="none"/>
            </w:rPr>
            <w:fldChar w:fldCharType="begin"/>
          </w:r>
          <w:r>
            <w:rPr>
              <w:spacing w:val="-4"/>
              <w:sz w:val="28"/>
              <w:szCs w:val="28"/>
              <w:highlight w:val="none"/>
            </w:rPr>
            <w:instrText xml:space="preserve"> PAGEREF _Toc73979864 \h </w:instrText>
          </w:r>
          <w:r>
            <w:rPr>
              <w:spacing w:val="-4"/>
              <w:sz w:val="28"/>
              <w:szCs w:val="28"/>
              <w:highlight w:val="none"/>
            </w:rPr>
            <w:fldChar w:fldCharType="separate"/>
          </w:r>
          <w:r>
            <w:rPr>
              <w:spacing w:val="-4"/>
              <w:sz w:val="28"/>
              <w:szCs w:val="28"/>
              <w:highlight w:val="none"/>
            </w:rPr>
            <w:t>- 50 -</w:t>
          </w:r>
          <w:r>
            <w:rPr>
              <w:spacing w:val="-4"/>
              <w:sz w:val="28"/>
              <w:szCs w:val="28"/>
              <w:highlight w:val="none"/>
            </w:rPr>
            <w:fldChar w:fldCharType="end"/>
          </w:r>
          <w:r>
            <w:rPr>
              <w:spacing w:val="-4"/>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"_Toc73979865" </w:instrText>
          </w:r>
          <w:r>
            <w:rPr>
              <w:highlight w:val="none"/>
            </w:rPr>
            <w:fldChar w:fldCharType="separate"/>
          </w:r>
          <w:r>
            <w:rPr>
              <w:rStyle w:val="32"/>
              <w:sz w:val="28"/>
              <w:szCs w:val="28"/>
              <w:highlight w:val="none"/>
            </w:rPr>
            <w:t>第五节  完善利益联结机制，带动农民增收致富</w:t>
          </w:r>
          <w:r>
            <w:rPr>
              <w:sz w:val="28"/>
              <w:szCs w:val="28"/>
              <w:highlight w:val="none"/>
            </w:rPr>
            <w:tab/>
          </w:r>
          <w:r>
            <w:rPr>
              <w:sz w:val="28"/>
              <w:szCs w:val="28"/>
              <w:highlight w:val="none"/>
            </w:rPr>
            <w:fldChar w:fldCharType="begin"/>
          </w:r>
          <w:r>
            <w:rPr>
              <w:sz w:val="28"/>
              <w:szCs w:val="28"/>
              <w:highlight w:val="none"/>
            </w:rPr>
            <w:instrText xml:space="preserve"> PAGEREF _Toc73979865 \h </w:instrText>
          </w:r>
          <w:r>
            <w:rPr>
              <w:sz w:val="28"/>
              <w:szCs w:val="28"/>
              <w:highlight w:val="none"/>
            </w:rPr>
            <w:fldChar w:fldCharType="separate"/>
          </w:r>
          <w:r>
            <w:rPr>
              <w:sz w:val="28"/>
              <w:szCs w:val="28"/>
              <w:highlight w:val="none"/>
            </w:rPr>
            <w:t>- 51 -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"_Toc73979866" </w:instrText>
          </w:r>
          <w:r>
            <w:rPr>
              <w:highlight w:val="none"/>
            </w:rPr>
            <w:fldChar w:fldCharType="separate"/>
          </w:r>
          <w:r>
            <w:rPr>
              <w:rStyle w:val="32"/>
              <w:bCs/>
              <w:kern w:val="44"/>
              <w:highlight w:val="none"/>
            </w:rPr>
            <w:t>第三篇  富农惠农  深入推进农村现代化</w:t>
          </w:r>
          <w:r>
            <w:rPr>
              <w:highlight w:val="none"/>
            </w:rPr>
            <w:tab/>
          </w:r>
          <w:r>
            <w:rPr>
              <w:highlight w:val="none"/>
            </w:rPr>
            <w:fldChar w:fldCharType="begin"/>
          </w:r>
          <w:r>
            <w:rPr>
              <w:highlight w:val="none"/>
            </w:rPr>
            <w:instrText xml:space="preserve"> PAGEREF _Toc73979866 \h </w:instrText>
          </w:r>
          <w:r>
            <w:rPr>
              <w:highlight w:val="none"/>
            </w:rPr>
            <w:fldChar w:fldCharType="separate"/>
          </w:r>
          <w:r>
            <w:rPr>
              <w:highlight w:val="none"/>
            </w:rPr>
            <w:t>- 53 -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"_Toc73979867" </w:instrText>
          </w:r>
          <w:r>
            <w:rPr>
              <w:highlight w:val="none"/>
            </w:rPr>
            <w:fldChar w:fldCharType="separate"/>
          </w:r>
          <w:r>
            <w:rPr>
              <w:rStyle w:val="32"/>
              <w:bCs/>
              <w:sz w:val="28"/>
              <w:szCs w:val="28"/>
              <w:highlight w:val="none"/>
            </w:rPr>
            <w:t>第一章  以生态宜居为重点，打造美丽宜居乡村</w:t>
          </w:r>
          <w:r>
            <w:rPr>
              <w:sz w:val="28"/>
              <w:szCs w:val="28"/>
              <w:highlight w:val="none"/>
            </w:rPr>
            <w:tab/>
          </w:r>
          <w:r>
            <w:rPr>
              <w:sz w:val="28"/>
              <w:szCs w:val="28"/>
              <w:highlight w:val="none"/>
            </w:rPr>
            <w:fldChar w:fldCharType="begin"/>
          </w:r>
          <w:r>
            <w:rPr>
              <w:sz w:val="28"/>
              <w:szCs w:val="28"/>
              <w:highlight w:val="none"/>
            </w:rPr>
            <w:instrText xml:space="preserve"> PAGEREF _Toc73979867 \h </w:instrText>
          </w:r>
          <w:r>
            <w:rPr>
              <w:sz w:val="28"/>
              <w:szCs w:val="28"/>
              <w:highlight w:val="none"/>
            </w:rPr>
            <w:fldChar w:fldCharType="separate"/>
          </w:r>
          <w:r>
            <w:rPr>
              <w:sz w:val="28"/>
              <w:szCs w:val="28"/>
              <w:highlight w:val="none"/>
            </w:rPr>
            <w:t>- 53 -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"_Toc73979868" </w:instrText>
          </w:r>
          <w:r>
            <w:rPr>
              <w:highlight w:val="none"/>
            </w:rPr>
            <w:fldChar w:fldCharType="separate"/>
          </w:r>
          <w:r>
            <w:rPr>
              <w:rStyle w:val="32"/>
              <w:sz w:val="28"/>
              <w:szCs w:val="28"/>
              <w:highlight w:val="none"/>
            </w:rPr>
            <w:t>第一节  加快推进村规划建设</w:t>
          </w:r>
          <w:r>
            <w:rPr>
              <w:sz w:val="28"/>
              <w:szCs w:val="28"/>
              <w:highlight w:val="none"/>
            </w:rPr>
            <w:tab/>
          </w:r>
          <w:r>
            <w:rPr>
              <w:sz w:val="28"/>
              <w:szCs w:val="28"/>
              <w:highlight w:val="none"/>
            </w:rPr>
            <w:fldChar w:fldCharType="begin"/>
          </w:r>
          <w:r>
            <w:rPr>
              <w:sz w:val="28"/>
              <w:szCs w:val="28"/>
              <w:highlight w:val="none"/>
            </w:rPr>
            <w:instrText xml:space="preserve"> PAGEREF _Toc73979868 \h </w:instrText>
          </w:r>
          <w:r>
            <w:rPr>
              <w:sz w:val="28"/>
              <w:szCs w:val="28"/>
              <w:highlight w:val="none"/>
            </w:rPr>
            <w:fldChar w:fldCharType="separate"/>
          </w:r>
          <w:r>
            <w:rPr>
              <w:sz w:val="28"/>
              <w:szCs w:val="28"/>
              <w:highlight w:val="none"/>
            </w:rPr>
            <w:t>- 53 -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"_Toc73979869" </w:instrText>
          </w:r>
          <w:r>
            <w:rPr>
              <w:highlight w:val="none"/>
            </w:rPr>
            <w:fldChar w:fldCharType="separate"/>
          </w:r>
          <w:r>
            <w:rPr>
              <w:rStyle w:val="32"/>
              <w:sz w:val="28"/>
              <w:szCs w:val="28"/>
              <w:highlight w:val="none"/>
            </w:rPr>
            <w:t>第二节  加强农村基础设施建设</w:t>
          </w:r>
          <w:r>
            <w:rPr>
              <w:sz w:val="28"/>
              <w:szCs w:val="28"/>
              <w:highlight w:val="none"/>
            </w:rPr>
            <w:tab/>
          </w:r>
          <w:r>
            <w:rPr>
              <w:sz w:val="28"/>
              <w:szCs w:val="28"/>
              <w:highlight w:val="none"/>
            </w:rPr>
            <w:fldChar w:fldCharType="begin"/>
          </w:r>
          <w:r>
            <w:rPr>
              <w:sz w:val="28"/>
              <w:szCs w:val="28"/>
              <w:highlight w:val="none"/>
            </w:rPr>
            <w:instrText xml:space="preserve"> PAGEREF _Toc73979869 \h </w:instrText>
          </w:r>
          <w:r>
            <w:rPr>
              <w:sz w:val="28"/>
              <w:szCs w:val="28"/>
              <w:highlight w:val="none"/>
            </w:rPr>
            <w:fldChar w:fldCharType="separate"/>
          </w:r>
          <w:r>
            <w:rPr>
              <w:sz w:val="28"/>
              <w:szCs w:val="28"/>
              <w:highlight w:val="none"/>
            </w:rPr>
            <w:t>- 53 -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"_Toc73979870" </w:instrText>
          </w:r>
          <w:r>
            <w:rPr>
              <w:highlight w:val="none"/>
            </w:rPr>
            <w:fldChar w:fldCharType="separate"/>
          </w:r>
          <w:r>
            <w:rPr>
              <w:rStyle w:val="32"/>
              <w:sz w:val="28"/>
              <w:szCs w:val="28"/>
              <w:highlight w:val="none"/>
            </w:rPr>
            <w:t>第三节  强化人居环境整治提升</w:t>
          </w:r>
          <w:r>
            <w:rPr>
              <w:sz w:val="28"/>
              <w:szCs w:val="28"/>
              <w:highlight w:val="none"/>
            </w:rPr>
            <w:tab/>
          </w:r>
          <w:r>
            <w:rPr>
              <w:sz w:val="28"/>
              <w:szCs w:val="28"/>
              <w:highlight w:val="none"/>
            </w:rPr>
            <w:fldChar w:fldCharType="begin"/>
          </w:r>
          <w:r>
            <w:rPr>
              <w:sz w:val="28"/>
              <w:szCs w:val="28"/>
              <w:highlight w:val="none"/>
            </w:rPr>
            <w:instrText xml:space="preserve"> PAGEREF _Toc73979870 \h </w:instrText>
          </w:r>
          <w:r>
            <w:rPr>
              <w:sz w:val="28"/>
              <w:szCs w:val="28"/>
              <w:highlight w:val="none"/>
            </w:rPr>
            <w:fldChar w:fldCharType="separate"/>
          </w:r>
          <w:r>
            <w:rPr>
              <w:sz w:val="28"/>
              <w:szCs w:val="28"/>
              <w:highlight w:val="none"/>
            </w:rPr>
            <w:t>- 55 -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"_Toc73979871" </w:instrText>
          </w:r>
          <w:r>
            <w:rPr>
              <w:highlight w:val="none"/>
            </w:rPr>
            <w:fldChar w:fldCharType="separate"/>
          </w:r>
          <w:r>
            <w:rPr>
              <w:rStyle w:val="32"/>
              <w:sz w:val="28"/>
              <w:szCs w:val="28"/>
              <w:highlight w:val="none"/>
            </w:rPr>
            <w:t>第四节  改善提升村容村貌</w:t>
          </w:r>
          <w:r>
            <w:rPr>
              <w:sz w:val="28"/>
              <w:szCs w:val="28"/>
              <w:highlight w:val="none"/>
            </w:rPr>
            <w:tab/>
          </w:r>
          <w:r>
            <w:rPr>
              <w:sz w:val="28"/>
              <w:szCs w:val="28"/>
              <w:highlight w:val="none"/>
            </w:rPr>
            <w:fldChar w:fldCharType="begin"/>
          </w:r>
          <w:r>
            <w:rPr>
              <w:sz w:val="28"/>
              <w:szCs w:val="28"/>
              <w:highlight w:val="none"/>
            </w:rPr>
            <w:instrText xml:space="preserve"> PAGEREF _Toc73979871 \h </w:instrText>
          </w:r>
          <w:r>
            <w:rPr>
              <w:sz w:val="28"/>
              <w:szCs w:val="28"/>
              <w:highlight w:val="none"/>
            </w:rPr>
            <w:fldChar w:fldCharType="separate"/>
          </w:r>
          <w:r>
            <w:rPr>
              <w:sz w:val="28"/>
              <w:szCs w:val="28"/>
              <w:highlight w:val="none"/>
            </w:rPr>
            <w:t>- 56 -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"_Toc73979872" </w:instrText>
          </w:r>
          <w:r>
            <w:rPr>
              <w:highlight w:val="none"/>
            </w:rPr>
            <w:fldChar w:fldCharType="separate"/>
          </w:r>
          <w:r>
            <w:rPr>
              <w:rStyle w:val="32"/>
              <w:sz w:val="28"/>
              <w:szCs w:val="28"/>
              <w:highlight w:val="none"/>
            </w:rPr>
            <w:t>第五节  推进生态环境综合治理</w:t>
          </w:r>
          <w:r>
            <w:rPr>
              <w:sz w:val="28"/>
              <w:szCs w:val="28"/>
              <w:highlight w:val="none"/>
            </w:rPr>
            <w:tab/>
          </w:r>
          <w:r>
            <w:rPr>
              <w:sz w:val="28"/>
              <w:szCs w:val="28"/>
              <w:highlight w:val="none"/>
            </w:rPr>
            <w:fldChar w:fldCharType="begin"/>
          </w:r>
          <w:r>
            <w:rPr>
              <w:sz w:val="28"/>
              <w:szCs w:val="28"/>
              <w:highlight w:val="none"/>
            </w:rPr>
            <w:instrText xml:space="preserve"> PAGEREF _Toc73979872 \h </w:instrText>
          </w:r>
          <w:r>
            <w:rPr>
              <w:sz w:val="28"/>
              <w:szCs w:val="28"/>
              <w:highlight w:val="none"/>
            </w:rPr>
            <w:fldChar w:fldCharType="separate"/>
          </w:r>
          <w:r>
            <w:rPr>
              <w:sz w:val="28"/>
              <w:szCs w:val="28"/>
              <w:highlight w:val="none"/>
            </w:rPr>
            <w:t>- 57 -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"_Toc73979873" </w:instrText>
          </w:r>
          <w:r>
            <w:rPr>
              <w:highlight w:val="none"/>
            </w:rPr>
            <w:fldChar w:fldCharType="separate"/>
          </w:r>
          <w:r>
            <w:rPr>
              <w:rStyle w:val="32"/>
              <w:bCs/>
              <w:sz w:val="28"/>
              <w:szCs w:val="28"/>
              <w:highlight w:val="none"/>
            </w:rPr>
            <w:t>第二章  以乡风文明为目标，繁荣兴盛农村文化</w:t>
          </w:r>
          <w:r>
            <w:rPr>
              <w:sz w:val="28"/>
              <w:szCs w:val="28"/>
              <w:highlight w:val="none"/>
            </w:rPr>
            <w:tab/>
          </w:r>
          <w:r>
            <w:rPr>
              <w:sz w:val="28"/>
              <w:szCs w:val="28"/>
              <w:highlight w:val="none"/>
            </w:rPr>
            <w:fldChar w:fldCharType="begin"/>
          </w:r>
          <w:r>
            <w:rPr>
              <w:sz w:val="28"/>
              <w:szCs w:val="28"/>
              <w:highlight w:val="none"/>
            </w:rPr>
            <w:instrText xml:space="preserve"> PAGEREF _Toc73979873 \h </w:instrText>
          </w:r>
          <w:r>
            <w:rPr>
              <w:sz w:val="28"/>
              <w:szCs w:val="28"/>
              <w:highlight w:val="none"/>
            </w:rPr>
            <w:fldChar w:fldCharType="separate"/>
          </w:r>
          <w:r>
            <w:rPr>
              <w:sz w:val="28"/>
              <w:szCs w:val="28"/>
              <w:highlight w:val="none"/>
            </w:rPr>
            <w:t>- 60 -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"_Toc73979874" </w:instrText>
          </w:r>
          <w:r>
            <w:rPr>
              <w:highlight w:val="none"/>
            </w:rPr>
            <w:fldChar w:fldCharType="separate"/>
          </w:r>
          <w:r>
            <w:rPr>
              <w:rStyle w:val="32"/>
              <w:sz w:val="28"/>
              <w:szCs w:val="28"/>
              <w:highlight w:val="none"/>
            </w:rPr>
            <w:t>第一节  加强思想道德建设</w:t>
          </w:r>
          <w:r>
            <w:rPr>
              <w:sz w:val="28"/>
              <w:szCs w:val="28"/>
              <w:highlight w:val="none"/>
            </w:rPr>
            <w:tab/>
          </w:r>
          <w:r>
            <w:rPr>
              <w:sz w:val="28"/>
              <w:szCs w:val="28"/>
              <w:highlight w:val="none"/>
            </w:rPr>
            <w:fldChar w:fldCharType="begin"/>
          </w:r>
          <w:r>
            <w:rPr>
              <w:sz w:val="28"/>
              <w:szCs w:val="28"/>
              <w:highlight w:val="none"/>
            </w:rPr>
            <w:instrText xml:space="preserve"> PAGEREF _Toc73979874 \h </w:instrText>
          </w:r>
          <w:r>
            <w:rPr>
              <w:sz w:val="28"/>
              <w:szCs w:val="28"/>
              <w:highlight w:val="none"/>
            </w:rPr>
            <w:fldChar w:fldCharType="separate"/>
          </w:r>
          <w:r>
            <w:rPr>
              <w:sz w:val="28"/>
              <w:szCs w:val="28"/>
              <w:highlight w:val="none"/>
            </w:rPr>
            <w:t>- 60 -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"_Toc73979875" </w:instrText>
          </w:r>
          <w:r>
            <w:rPr>
              <w:highlight w:val="none"/>
            </w:rPr>
            <w:fldChar w:fldCharType="separate"/>
          </w:r>
          <w:r>
            <w:rPr>
              <w:rStyle w:val="32"/>
              <w:sz w:val="28"/>
              <w:szCs w:val="28"/>
              <w:highlight w:val="none"/>
            </w:rPr>
            <w:t>第二节  开展移风易俗行动</w:t>
          </w:r>
          <w:r>
            <w:rPr>
              <w:sz w:val="28"/>
              <w:szCs w:val="28"/>
              <w:highlight w:val="none"/>
            </w:rPr>
            <w:tab/>
          </w:r>
          <w:r>
            <w:rPr>
              <w:sz w:val="28"/>
              <w:szCs w:val="28"/>
              <w:highlight w:val="none"/>
            </w:rPr>
            <w:fldChar w:fldCharType="begin"/>
          </w:r>
          <w:r>
            <w:rPr>
              <w:sz w:val="28"/>
              <w:szCs w:val="28"/>
              <w:highlight w:val="none"/>
            </w:rPr>
            <w:instrText xml:space="preserve"> PAGEREF _Toc73979875 \h </w:instrText>
          </w:r>
          <w:r>
            <w:rPr>
              <w:sz w:val="28"/>
              <w:szCs w:val="28"/>
              <w:highlight w:val="none"/>
            </w:rPr>
            <w:fldChar w:fldCharType="separate"/>
          </w:r>
          <w:r>
            <w:rPr>
              <w:sz w:val="28"/>
              <w:szCs w:val="28"/>
              <w:highlight w:val="none"/>
            </w:rPr>
            <w:t>- 60 -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"_Toc73979876" </w:instrText>
          </w:r>
          <w:r>
            <w:rPr>
              <w:highlight w:val="none"/>
            </w:rPr>
            <w:fldChar w:fldCharType="separate"/>
          </w:r>
          <w:r>
            <w:rPr>
              <w:rStyle w:val="32"/>
              <w:sz w:val="28"/>
              <w:szCs w:val="28"/>
              <w:highlight w:val="none"/>
            </w:rPr>
            <w:t>第三节  传承优秀传统文化</w:t>
          </w:r>
          <w:r>
            <w:rPr>
              <w:sz w:val="28"/>
              <w:szCs w:val="28"/>
              <w:highlight w:val="none"/>
            </w:rPr>
            <w:tab/>
          </w:r>
          <w:r>
            <w:rPr>
              <w:sz w:val="28"/>
              <w:szCs w:val="28"/>
              <w:highlight w:val="none"/>
            </w:rPr>
            <w:fldChar w:fldCharType="begin"/>
          </w:r>
          <w:r>
            <w:rPr>
              <w:sz w:val="28"/>
              <w:szCs w:val="28"/>
              <w:highlight w:val="none"/>
            </w:rPr>
            <w:instrText xml:space="preserve"> PAGEREF _Toc73979876 \h </w:instrText>
          </w:r>
          <w:r>
            <w:rPr>
              <w:sz w:val="28"/>
              <w:szCs w:val="28"/>
              <w:highlight w:val="none"/>
            </w:rPr>
            <w:fldChar w:fldCharType="separate"/>
          </w:r>
          <w:r>
            <w:rPr>
              <w:sz w:val="28"/>
              <w:szCs w:val="28"/>
              <w:highlight w:val="none"/>
            </w:rPr>
            <w:t>- 60 -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"_Toc73979877" </w:instrText>
          </w:r>
          <w:r>
            <w:rPr>
              <w:highlight w:val="none"/>
            </w:rPr>
            <w:fldChar w:fldCharType="separate"/>
          </w:r>
          <w:r>
            <w:rPr>
              <w:rStyle w:val="32"/>
              <w:sz w:val="28"/>
              <w:szCs w:val="28"/>
              <w:highlight w:val="none"/>
            </w:rPr>
            <w:t>第四节  推进家庭文明建设</w:t>
          </w:r>
          <w:r>
            <w:rPr>
              <w:sz w:val="28"/>
              <w:szCs w:val="28"/>
              <w:highlight w:val="none"/>
            </w:rPr>
            <w:tab/>
          </w:r>
          <w:r>
            <w:rPr>
              <w:sz w:val="28"/>
              <w:szCs w:val="28"/>
              <w:highlight w:val="none"/>
            </w:rPr>
            <w:fldChar w:fldCharType="begin"/>
          </w:r>
          <w:r>
            <w:rPr>
              <w:sz w:val="28"/>
              <w:szCs w:val="28"/>
              <w:highlight w:val="none"/>
            </w:rPr>
            <w:instrText xml:space="preserve"> PAGEREF _Toc73979877 \h </w:instrText>
          </w:r>
          <w:r>
            <w:rPr>
              <w:sz w:val="28"/>
              <w:szCs w:val="28"/>
              <w:highlight w:val="none"/>
            </w:rPr>
            <w:fldChar w:fldCharType="separate"/>
          </w:r>
          <w:r>
            <w:rPr>
              <w:sz w:val="28"/>
              <w:szCs w:val="28"/>
              <w:highlight w:val="none"/>
            </w:rPr>
            <w:t>- 61 -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"_Toc73979878" </w:instrText>
          </w:r>
          <w:r>
            <w:rPr>
              <w:highlight w:val="none"/>
            </w:rPr>
            <w:fldChar w:fldCharType="separate"/>
          </w:r>
          <w:r>
            <w:rPr>
              <w:rStyle w:val="32"/>
              <w:bCs/>
              <w:sz w:val="28"/>
              <w:szCs w:val="28"/>
              <w:highlight w:val="none"/>
            </w:rPr>
            <w:t>第三章  以乡村治理为保障，提升乡村治理现代化水平</w:t>
          </w:r>
          <w:r>
            <w:rPr>
              <w:sz w:val="28"/>
              <w:szCs w:val="28"/>
              <w:highlight w:val="none"/>
            </w:rPr>
            <w:tab/>
          </w:r>
          <w:r>
            <w:rPr>
              <w:sz w:val="28"/>
              <w:szCs w:val="28"/>
              <w:highlight w:val="none"/>
            </w:rPr>
            <w:fldChar w:fldCharType="begin"/>
          </w:r>
          <w:r>
            <w:rPr>
              <w:sz w:val="28"/>
              <w:szCs w:val="28"/>
              <w:highlight w:val="none"/>
            </w:rPr>
            <w:instrText xml:space="preserve"> PAGEREF _Toc73979878 \h </w:instrText>
          </w:r>
          <w:r>
            <w:rPr>
              <w:sz w:val="28"/>
              <w:szCs w:val="28"/>
              <w:highlight w:val="none"/>
            </w:rPr>
            <w:fldChar w:fldCharType="separate"/>
          </w:r>
          <w:r>
            <w:rPr>
              <w:sz w:val="28"/>
              <w:szCs w:val="28"/>
              <w:highlight w:val="none"/>
            </w:rPr>
            <w:t>- 62 -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"_Toc73979879" </w:instrText>
          </w:r>
          <w:r>
            <w:rPr>
              <w:highlight w:val="none"/>
            </w:rPr>
            <w:fldChar w:fldCharType="separate"/>
          </w:r>
          <w:r>
            <w:rPr>
              <w:rStyle w:val="32"/>
              <w:sz w:val="28"/>
              <w:szCs w:val="28"/>
              <w:highlight w:val="none"/>
            </w:rPr>
            <w:t>第一节  加强基层党组织建设</w:t>
          </w:r>
          <w:r>
            <w:rPr>
              <w:sz w:val="28"/>
              <w:szCs w:val="28"/>
              <w:highlight w:val="none"/>
            </w:rPr>
            <w:tab/>
          </w:r>
          <w:r>
            <w:rPr>
              <w:sz w:val="28"/>
              <w:szCs w:val="28"/>
              <w:highlight w:val="none"/>
            </w:rPr>
            <w:fldChar w:fldCharType="begin"/>
          </w:r>
          <w:r>
            <w:rPr>
              <w:sz w:val="28"/>
              <w:szCs w:val="28"/>
              <w:highlight w:val="none"/>
            </w:rPr>
            <w:instrText xml:space="preserve"> PAGEREF _Toc73979879 \h </w:instrText>
          </w:r>
          <w:r>
            <w:rPr>
              <w:sz w:val="28"/>
              <w:szCs w:val="28"/>
              <w:highlight w:val="none"/>
            </w:rPr>
            <w:fldChar w:fldCharType="separate"/>
          </w:r>
          <w:r>
            <w:rPr>
              <w:sz w:val="28"/>
              <w:szCs w:val="28"/>
              <w:highlight w:val="none"/>
            </w:rPr>
            <w:t>- 62 -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"_Toc73979880" </w:instrText>
          </w:r>
          <w:r>
            <w:rPr>
              <w:highlight w:val="none"/>
            </w:rPr>
            <w:fldChar w:fldCharType="separate"/>
          </w:r>
          <w:r>
            <w:rPr>
              <w:rStyle w:val="32"/>
              <w:sz w:val="28"/>
              <w:szCs w:val="28"/>
              <w:highlight w:val="none"/>
            </w:rPr>
            <w:t>第二节  提升群众自治能力</w:t>
          </w:r>
          <w:r>
            <w:rPr>
              <w:sz w:val="28"/>
              <w:szCs w:val="28"/>
              <w:highlight w:val="none"/>
            </w:rPr>
            <w:tab/>
          </w:r>
          <w:r>
            <w:rPr>
              <w:sz w:val="28"/>
              <w:szCs w:val="28"/>
              <w:highlight w:val="none"/>
            </w:rPr>
            <w:fldChar w:fldCharType="begin"/>
          </w:r>
          <w:r>
            <w:rPr>
              <w:sz w:val="28"/>
              <w:szCs w:val="28"/>
              <w:highlight w:val="none"/>
            </w:rPr>
            <w:instrText xml:space="preserve"> PAGEREF _Toc73979880 \h </w:instrText>
          </w:r>
          <w:r>
            <w:rPr>
              <w:sz w:val="28"/>
              <w:szCs w:val="28"/>
              <w:highlight w:val="none"/>
            </w:rPr>
            <w:fldChar w:fldCharType="separate"/>
          </w:r>
          <w:r>
            <w:rPr>
              <w:sz w:val="28"/>
              <w:szCs w:val="28"/>
              <w:highlight w:val="none"/>
            </w:rPr>
            <w:t>- 62 -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"_Toc73979881" </w:instrText>
          </w:r>
          <w:r>
            <w:rPr>
              <w:highlight w:val="none"/>
            </w:rPr>
            <w:fldChar w:fldCharType="separate"/>
          </w:r>
          <w:r>
            <w:rPr>
              <w:rStyle w:val="32"/>
              <w:sz w:val="28"/>
              <w:szCs w:val="28"/>
              <w:highlight w:val="none"/>
            </w:rPr>
            <w:t>第三节  深化平安乡村建设</w:t>
          </w:r>
          <w:r>
            <w:rPr>
              <w:sz w:val="28"/>
              <w:szCs w:val="28"/>
              <w:highlight w:val="none"/>
            </w:rPr>
            <w:tab/>
          </w:r>
          <w:r>
            <w:rPr>
              <w:sz w:val="28"/>
              <w:szCs w:val="28"/>
              <w:highlight w:val="none"/>
            </w:rPr>
            <w:fldChar w:fldCharType="begin"/>
          </w:r>
          <w:r>
            <w:rPr>
              <w:sz w:val="28"/>
              <w:szCs w:val="28"/>
              <w:highlight w:val="none"/>
            </w:rPr>
            <w:instrText xml:space="preserve"> PAGEREF _Toc73979881 \h </w:instrText>
          </w:r>
          <w:r>
            <w:rPr>
              <w:sz w:val="28"/>
              <w:szCs w:val="28"/>
              <w:highlight w:val="none"/>
            </w:rPr>
            <w:fldChar w:fldCharType="separate"/>
          </w:r>
          <w:r>
            <w:rPr>
              <w:sz w:val="28"/>
              <w:szCs w:val="28"/>
              <w:highlight w:val="none"/>
            </w:rPr>
            <w:t>- 63 -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"_Toc73979882" </w:instrText>
          </w:r>
          <w:r>
            <w:rPr>
              <w:highlight w:val="none"/>
            </w:rPr>
            <w:fldChar w:fldCharType="separate"/>
          </w:r>
          <w:r>
            <w:rPr>
              <w:rStyle w:val="32"/>
              <w:sz w:val="28"/>
              <w:szCs w:val="28"/>
              <w:highlight w:val="none"/>
            </w:rPr>
            <w:t>第四节  强化乡村应急管理</w:t>
          </w:r>
          <w:r>
            <w:rPr>
              <w:sz w:val="28"/>
              <w:szCs w:val="28"/>
              <w:highlight w:val="none"/>
            </w:rPr>
            <w:tab/>
          </w:r>
          <w:r>
            <w:rPr>
              <w:sz w:val="28"/>
              <w:szCs w:val="28"/>
              <w:highlight w:val="none"/>
            </w:rPr>
            <w:fldChar w:fldCharType="begin"/>
          </w:r>
          <w:r>
            <w:rPr>
              <w:sz w:val="28"/>
              <w:szCs w:val="28"/>
              <w:highlight w:val="none"/>
            </w:rPr>
            <w:instrText xml:space="preserve"> PAGEREF _Toc73979882 \h </w:instrText>
          </w:r>
          <w:r>
            <w:rPr>
              <w:sz w:val="28"/>
              <w:szCs w:val="28"/>
              <w:highlight w:val="none"/>
            </w:rPr>
            <w:fldChar w:fldCharType="separate"/>
          </w:r>
          <w:r>
            <w:rPr>
              <w:sz w:val="28"/>
              <w:szCs w:val="28"/>
              <w:highlight w:val="none"/>
            </w:rPr>
            <w:t>- 63 -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"_Toc73979883" </w:instrText>
          </w:r>
          <w:r>
            <w:rPr>
              <w:highlight w:val="none"/>
            </w:rPr>
            <w:fldChar w:fldCharType="separate"/>
          </w:r>
          <w:r>
            <w:rPr>
              <w:rStyle w:val="32"/>
              <w:bCs/>
              <w:kern w:val="44"/>
              <w:highlight w:val="none"/>
            </w:rPr>
            <w:t>第四篇  联农助农  努力提升农民现代化</w:t>
          </w:r>
          <w:r>
            <w:rPr>
              <w:highlight w:val="none"/>
            </w:rPr>
            <w:tab/>
          </w:r>
          <w:r>
            <w:rPr>
              <w:highlight w:val="none"/>
            </w:rPr>
            <w:fldChar w:fldCharType="begin"/>
          </w:r>
          <w:r>
            <w:rPr>
              <w:highlight w:val="none"/>
            </w:rPr>
            <w:instrText xml:space="preserve"> PAGEREF _Toc73979883 \h </w:instrText>
          </w:r>
          <w:r>
            <w:rPr>
              <w:highlight w:val="none"/>
            </w:rPr>
            <w:fldChar w:fldCharType="separate"/>
          </w:r>
          <w:r>
            <w:rPr>
              <w:highlight w:val="none"/>
            </w:rPr>
            <w:t>- 65 -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"_Toc73979884" </w:instrText>
          </w:r>
          <w:r>
            <w:rPr>
              <w:highlight w:val="none"/>
            </w:rPr>
            <w:fldChar w:fldCharType="separate"/>
          </w:r>
          <w:r>
            <w:rPr>
              <w:rStyle w:val="32"/>
              <w:bCs/>
              <w:sz w:val="28"/>
              <w:szCs w:val="28"/>
              <w:highlight w:val="none"/>
            </w:rPr>
            <w:t>第一章  农民素质现代化</w:t>
          </w:r>
          <w:r>
            <w:rPr>
              <w:sz w:val="28"/>
              <w:szCs w:val="28"/>
              <w:highlight w:val="none"/>
            </w:rPr>
            <w:tab/>
          </w:r>
          <w:r>
            <w:rPr>
              <w:sz w:val="28"/>
              <w:szCs w:val="28"/>
              <w:highlight w:val="none"/>
            </w:rPr>
            <w:fldChar w:fldCharType="begin"/>
          </w:r>
          <w:r>
            <w:rPr>
              <w:sz w:val="28"/>
              <w:szCs w:val="28"/>
              <w:highlight w:val="none"/>
            </w:rPr>
            <w:instrText xml:space="preserve"> PAGEREF _Toc73979884 \h </w:instrText>
          </w:r>
          <w:r>
            <w:rPr>
              <w:sz w:val="28"/>
              <w:szCs w:val="28"/>
              <w:highlight w:val="none"/>
            </w:rPr>
            <w:fldChar w:fldCharType="separate"/>
          </w:r>
          <w:r>
            <w:rPr>
              <w:sz w:val="28"/>
              <w:szCs w:val="28"/>
              <w:highlight w:val="none"/>
            </w:rPr>
            <w:t>- 65 -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"_Toc73979885" </w:instrText>
          </w:r>
          <w:r>
            <w:rPr>
              <w:highlight w:val="none"/>
            </w:rPr>
            <w:fldChar w:fldCharType="separate"/>
          </w:r>
          <w:r>
            <w:rPr>
              <w:rStyle w:val="32"/>
              <w:sz w:val="28"/>
              <w:szCs w:val="28"/>
              <w:highlight w:val="none"/>
            </w:rPr>
            <w:t>第一节  培养高素质农民</w:t>
          </w:r>
          <w:r>
            <w:rPr>
              <w:sz w:val="28"/>
              <w:szCs w:val="28"/>
              <w:highlight w:val="none"/>
            </w:rPr>
            <w:tab/>
          </w:r>
          <w:r>
            <w:rPr>
              <w:sz w:val="28"/>
              <w:szCs w:val="28"/>
              <w:highlight w:val="none"/>
            </w:rPr>
            <w:fldChar w:fldCharType="begin"/>
          </w:r>
          <w:r>
            <w:rPr>
              <w:sz w:val="28"/>
              <w:szCs w:val="28"/>
              <w:highlight w:val="none"/>
            </w:rPr>
            <w:instrText xml:space="preserve"> PAGEREF _Toc73979885 \h </w:instrText>
          </w:r>
          <w:r>
            <w:rPr>
              <w:sz w:val="28"/>
              <w:szCs w:val="28"/>
              <w:highlight w:val="none"/>
            </w:rPr>
            <w:fldChar w:fldCharType="separate"/>
          </w:r>
          <w:r>
            <w:rPr>
              <w:sz w:val="28"/>
              <w:szCs w:val="28"/>
              <w:highlight w:val="none"/>
            </w:rPr>
            <w:t>- 65 -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"_Toc73979886" </w:instrText>
          </w:r>
          <w:r>
            <w:rPr>
              <w:highlight w:val="none"/>
            </w:rPr>
            <w:fldChar w:fldCharType="separate"/>
          </w:r>
          <w:r>
            <w:rPr>
              <w:rStyle w:val="32"/>
              <w:sz w:val="28"/>
              <w:szCs w:val="28"/>
              <w:highlight w:val="none"/>
            </w:rPr>
            <w:t>第二节  培育乡村工匠</w:t>
          </w:r>
          <w:r>
            <w:rPr>
              <w:sz w:val="28"/>
              <w:szCs w:val="28"/>
              <w:highlight w:val="none"/>
            </w:rPr>
            <w:tab/>
          </w:r>
          <w:r>
            <w:rPr>
              <w:sz w:val="28"/>
              <w:szCs w:val="28"/>
              <w:highlight w:val="none"/>
            </w:rPr>
            <w:fldChar w:fldCharType="begin"/>
          </w:r>
          <w:r>
            <w:rPr>
              <w:sz w:val="28"/>
              <w:szCs w:val="28"/>
              <w:highlight w:val="none"/>
            </w:rPr>
            <w:instrText xml:space="preserve"> PAGEREF _Toc73979886 \h </w:instrText>
          </w:r>
          <w:r>
            <w:rPr>
              <w:sz w:val="28"/>
              <w:szCs w:val="28"/>
              <w:highlight w:val="none"/>
            </w:rPr>
            <w:fldChar w:fldCharType="separate"/>
          </w:r>
          <w:r>
            <w:rPr>
              <w:sz w:val="28"/>
              <w:szCs w:val="28"/>
              <w:highlight w:val="none"/>
            </w:rPr>
            <w:t>- 65 -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"_Toc73979887" </w:instrText>
          </w:r>
          <w:r>
            <w:rPr>
              <w:highlight w:val="none"/>
            </w:rPr>
            <w:fldChar w:fldCharType="separate"/>
          </w:r>
          <w:r>
            <w:rPr>
              <w:rStyle w:val="32"/>
              <w:sz w:val="28"/>
              <w:szCs w:val="28"/>
              <w:highlight w:val="none"/>
            </w:rPr>
            <w:t>第三节  注重人才引进</w:t>
          </w:r>
          <w:r>
            <w:rPr>
              <w:sz w:val="28"/>
              <w:szCs w:val="28"/>
              <w:highlight w:val="none"/>
            </w:rPr>
            <w:tab/>
          </w:r>
          <w:r>
            <w:rPr>
              <w:sz w:val="28"/>
              <w:szCs w:val="28"/>
              <w:highlight w:val="none"/>
            </w:rPr>
            <w:fldChar w:fldCharType="begin"/>
          </w:r>
          <w:r>
            <w:rPr>
              <w:sz w:val="28"/>
              <w:szCs w:val="28"/>
              <w:highlight w:val="none"/>
            </w:rPr>
            <w:instrText xml:space="preserve"> PAGEREF _Toc73979887 \h </w:instrText>
          </w:r>
          <w:r>
            <w:rPr>
              <w:sz w:val="28"/>
              <w:szCs w:val="28"/>
              <w:highlight w:val="none"/>
            </w:rPr>
            <w:fldChar w:fldCharType="separate"/>
          </w:r>
          <w:r>
            <w:rPr>
              <w:sz w:val="28"/>
              <w:szCs w:val="28"/>
              <w:highlight w:val="none"/>
            </w:rPr>
            <w:t>- 66 -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"_Toc73979888" </w:instrText>
          </w:r>
          <w:r>
            <w:rPr>
              <w:highlight w:val="none"/>
            </w:rPr>
            <w:fldChar w:fldCharType="separate"/>
          </w:r>
          <w:r>
            <w:rPr>
              <w:rStyle w:val="32"/>
              <w:bCs/>
              <w:sz w:val="28"/>
              <w:szCs w:val="28"/>
              <w:highlight w:val="none"/>
            </w:rPr>
            <w:t>第二章  农民生活现代化</w:t>
          </w:r>
          <w:r>
            <w:rPr>
              <w:sz w:val="28"/>
              <w:szCs w:val="28"/>
              <w:highlight w:val="none"/>
            </w:rPr>
            <w:tab/>
          </w:r>
          <w:r>
            <w:rPr>
              <w:sz w:val="28"/>
              <w:szCs w:val="28"/>
              <w:highlight w:val="none"/>
            </w:rPr>
            <w:fldChar w:fldCharType="begin"/>
          </w:r>
          <w:r>
            <w:rPr>
              <w:sz w:val="28"/>
              <w:szCs w:val="28"/>
              <w:highlight w:val="none"/>
            </w:rPr>
            <w:instrText xml:space="preserve"> PAGEREF _Toc73979888 \h </w:instrText>
          </w:r>
          <w:r>
            <w:rPr>
              <w:sz w:val="28"/>
              <w:szCs w:val="28"/>
              <w:highlight w:val="none"/>
            </w:rPr>
            <w:fldChar w:fldCharType="separate"/>
          </w:r>
          <w:r>
            <w:rPr>
              <w:sz w:val="28"/>
              <w:szCs w:val="28"/>
              <w:highlight w:val="none"/>
            </w:rPr>
            <w:t>- 66 -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"_Toc73979889" </w:instrText>
          </w:r>
          <w:r>
            <w:rPr>
              <w:highlight w:val="none"/>
            </w:rPr>
            <w:fldChar w:fldCharType="separate"/>
          </w:r>
          <w:r>
            <w:rPr>
              <w:rStyle w:val="32"/>
              <w:sz w:val="28"/>
              <w:szCs w:val="28"/>
              <w:highlight w:val="none"/>
            </w:rPr>
            <w:t>第一节  稳步提升农民生活质量</w:t>
          </w:r>
          <w:r>
            <w:rPr>
              <w:sz w:val="28"/>
              <w:szCs w:val="28"/>
              <w:highlight w:val="none"/>
            </w:rPr>
            <w:tab/>
          </w:r>
          <w:r>
            <w:rPr>
              <w:sz w:val="28"/>
              <w:szCs w:val="28"/>
              <w:highlight w:val="none"/>
            </w:rPr>
            <w:fldChar w:fldCharType="begin"/>
          </w:r>
          <w:r>
            <w:rPr>
              <w:sz w:val="28"/>
              <w:szCs w:val="28"/>
              <w:highlight w:val="none"/>
            </w:rPr>
            <w:instrText xml:space="preserve"> PAGEREF _Toc73979889 \h </w:instrText>
          </w:r>
          <w:r>
            <w:rPr>
              <w:sz w:val="28"/>
              <w:szCs w:val="28"/>
              <w:highlight w:val="none"/>
            </w:rPr>
            <w:fldChar w:fldCharType="separate"/>
          </w:r>
          <w:r>
            <w:rPr>
              <w:sz w:val="28"/>
              <w:szCs w:val="28"/>
              <w:highlight w:val="none"/>
            </w:rPr>
            <w:t>- 66 -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"_Toc73979890" </w:instrText>
          </w:r>
          <w:r>
            <w:rPr>
              <w:highlight w:val="none"/>
            </w:rPr>
            <w:fldChar w:fldCharType="separate"/>
          </w:r>
          <w:r>
            <w:rPr>
              <w:rStyle w:val="32"/>
              <w:sz w:val="28"/>
              <w:szCs w:val="28"/>
              <w:highlight w:val="none"/>
            </w:rPr>
            <w:t>第二节  全面提升农民收入水平</w:t>
          </w:r>
          <w:r>
            <w:rPr>
              <w:sz w:val="28"/>
              <w:szCs w:val="28"/>
              <w:highlight w:val="none"/>
            </w:rPr>
            <w:tab/>
          </w:r>
          <w:r>
            <w:rPr>
              <w:sz w:val="28"/>
              <w:szCs w:val="28"/>
              <w:highlight w:val="none"/>
            </w:rPr>
            <w:fldChar w:fldCharType="begin"/>
          </w:r>
          <w:r>
            <w:rPr>
              <w:sz w:val="28"/>
              <w:szCs w:val="28"/>
              <w:highlight w:val="none"/>
            </w:rPr>
            <w:instrText xml:space="preserve"> PAGEREF _Toc73979890 \h </w:instrText>
          </w:r>
          <w:r>
            <w:rPr>
              <w:sz w:val="28"/>
              <w:szCs w:val="28"/>
              <w:highlight w:val="none"/>
            </w:rPr>
            <w:fldChar w:fldCharType="separate"/>
          </w:r>
          <w:r>
            <w:rPr>
              <w:sz w:val="28"/>
              <w:szCs w:val="28"/>
              <w:highlight w:val="none"/>
            </w:rPr>
            <w:t>- 67 -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"_Toc73979891" </w:instrText>
          </w:r>
          <w:r>
            <w:rPr>
              <w:highlight w:val="none"/>
            </w:rPr>
            <w:fldChar w:fldCharType="separate"/>
          </w:r>
          <w:r>
            <w:rPr>
              <w:rStyle w:val="32"/>
              <w:sz w:val="28"/>
              <w:szCs w:val="28"/>
              <w:highlight w:val="none"/>
            </w:rPr>
            <w:t>第三节  持续提升公共服务水平</w:t>
          </w:r>
          <w:r>
            <w:rPr>
              <w:sz w:val="28"/>
              <w:szCs w:val="28"/>
              <w:highlight w:val="none"/>
            </w:rPr>
            <w:tab/>
          </w:r>
          <w:r>
            <w:rPr>
              <w:sz w:val="28"/>
              <w:szCs w:val="28"/>
              <w:highlight w:val="none"/>
            </w:rPr>
            <w:fldChar w:fldCharType="begin"/>
          </w:r>
          <w:r>
            <w:rPr>
              <w:sz w:val="28"/>
              <w:szCs w:val="28"/>
              <w:highlight w:val="none"/>
            </w:rPr>
            <w:instrText xml:space="preserve"> PAGEREF _Toc73979891 \h </w:instrText>
          </w:r>
          <w:r>
            <w:rPr>
              <w:sz w:val="28"/>
              <w:szCs w:val="28"/>
              <w:highlight w:val="none"/>
            </w:rPr>
            <w:fldChar w:fldCharType="separate"/>
          </w:r>
          <w:r>
            <w:rPr>
              <w:sz w:val="28"/>
              <w:szCs w:val="28"/>
              <w:highlight w:val="none"/>
            </w:rPr>
            <w:t>- 68 -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"_Toc73979892" </w:instrText>
          </w:r>
          <w:r>
            <w:rPr>
              <w:highlight w:val="none"/>
            </w:rPr>
            <w:fldChar w:fldCharType="separate"/>
          </w:r>
          <w:r>
            <w:rPr>
              <w:rStyle w:val="32"/>
              <w:bCs/>
              <w:kern w:val="44"/>
              <w:highlight w:val="none"/>
            </w:rPr>
            <w:t>第五篇  接续推进  巩固拓展脱贫攻坚成果同乡村振兴有效衔接</w:t>
          </w:r>
          <w:r>
            <w:rPr>
              <w:highlight w:val="none"/>
            </w:rPr>
            <w:tab/>
          </w:r>
          <w:r>
            <w:rPr>
              <w:highlight w:val="none"/>
            </w:rPr>
            <w:fldChar w:fldCharType="begin"/>
          </w:r>
          <w:r>
            <w:rPr>
              <w:highlight w:val="none"/>
            </w:rPr>
            <w:instrText xml:space="preserve"> PAGEREF _Toc73979892 \h </w:instrText>
          </w:r>
          <w:r>
            <w:rPr>
              <w:highlight w:val="none"/>
            </w:rPr>
            <w:fldChar w:fldCharType="separate"/>
          </w:r>
          <w:r>
            <w:rPr>
              <w:highlight w:val="none"/>
            </w:rPr>
            <w:t>- 70 -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"_Toc73979893" </w:instrText>
          </w:r>
          <w:r>
            <w:rPr>
              <w:highlight w:val="none"/>
            </w:rPr>
            <w:fldChar w:fldCharType="separate"/>
          </w:r>
          <w:r>
            <w:rPr>
              <w:rStyle w:val="32"/>
              <w:bCs/>
              <w:sz w:val="28"/>
              <w:szCs w:val="28"/>
              <w:highlight w:val="none"/>
            </w:rPr>
            <w:t>第一章  守住底线，确保不发生规模性返贫</w:t>
          </w:r>
          <w:r>
            <w:rPr>
              <w:sz w:val="28"/>
              <w:szCs w:val="28"/>
              <w:highlight w:val="none"/>
            </w:rPr>
            <w:tab/>
          </w:r>
          <w:r>
            <w:rPr>
              <w:sz w:val="28"/>
              <w:szCs w:val="28"/>
              <w:highlight w:val="none"/>
            </w:rPr>
            <w:fldChar w:fldCharType="begin"/>
          </w:r>
          <w:r>
            <w:rPr>
              <w:sz w:val="28"/>
              <w:szCs w:val="28"/>
              <w:highlight w:val="none"/>
            </w:rPr>
            <w:instrText xml:space="preserve"> PAGEREF _Toc73979893 \h </w:instrText>
          </w:r>
          <w:r>
            <w:rPr>
              <w:sz w:val="28"/>
              <w:szCs w:val="28"/>
              <w:highlight w:val="none"/>
            </w:rPr>
            <w:fldChar w:fldCharType="separate"/>
          </w:r>
          <w:r>
            <w:rPr>
              <w:sz w:val="28"/>
              <w:szCs w:val="28"/>
              <w:highlight w:val="none"/>
            </w:rPr>
            <w:t>- 70 -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"_Toc73979894" </w:instrText>
          </w:r>
          <w:r>
            <w:rPr>
              <w:highlight w:val="none"/>
            </w:rPr>
            <w:fldChar w:fldCharType="separate"/>
          </w:r>
          <w:r>
            <w:rPr>
              <w:rStyle w:val="32"/>
              <w:bCs/>
              <w:sz w:val="28"/>
              <w:szCs w:val="28"/>
              <w:highlight w:val="none"/>
            </w:rPr>
            <w:t>第二章  壮大产业，推进脱贫地区特色产业持续发展</w:t>
          </w:r>
          <w:r>
            <w:rPr>
              <w:sz w:val="28"/>
              <w:szCs w:val="28"/>
              <w:highlight w:val="none"/>
            </w:rPr>
            <w:tab/>
          </w:r>
          <w:r>
            <w:rPr>
              <w:sz w:val="28"/>
              <w:szCs w:val="28"/>
              <w:highlight w:val="none"/>
            </w:rPr>
            <w:fldChar w:fldCharType="begin"/>
          </w:r>
          <w:r>
            <w:rPr>
              <w:sz w:val="28"/>
              <w:szCs w:val="28"/>
              <w:highlight w:val="none"/>
            </w:rPr>
            <w:instrText xml:space="preserve"> PAGEREF _Toc73979894 \h </w:instrText>
          </w:r>
          <w:r>
            <w:rPr>
              <w:sz w:val="28"/>
              <w:szCs w:val="28"/>
              <w:highlight w:val="none"/>
            </w:rPr>
            <w:fldChar w:fldCharType="separate"/>
          </w:r>
          <w:r>
            <w:rPr>
              <w:sz w:val="28"/>
              <w:szCs w:val="28"/>
              <w:highlight w:val="none"/>
            </w:rPr>
            <w:t>- 70 -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"_Toc73979895" </w:instrText>
          </w:r>
          <w:r>
            <w:rPr>
              <w:highlight w:val="none"/>
            </w:rPr>
            <w:fldChar w:fldCharType="separate"/>
          </w:r>
          <w:r>
            <w:rPr>
              <w:rStyle w:val="32"/>
              <w:bCs/>
              <w:sz w:val="28"/>
              <w:szCs w:val="28"/>
              <w:highlight w:val="none"/>
            </w:rPr>
            <w:t>第三章  健全政策，推动政策举措平稳转向支持乡村振兴</w:t>
          </w:r>
          <w:r>
            <w:rPr>
              <w:sz w:val="28"/>
              <w:szCs w:val="28"/>
              <w:highlight w:val="none"/>
            </w:rPr>
            <w:tab/>
          </w:r>
          <w:r>
            <w:rPr>
              <w:sz w:val="28"/>
              <w:szCs w:val="28"/>
              <w:highlight w:val="none"/>
            </w:rPr>
            <w:fldChar w:fldCharType="begin"/>
          </w:r>
          <w:r>
            <w:rPr>
              <w:sz w:val="28"/>
              <w:szCs w:val="28"/>
              <w:highlight w:val="none"/>
            </w:rPr>
            <w:instrText xml:space="preserve"> PAGEREF _Toc73979895 \h </w:instrText>
          </w:r>
          <w:r>
            <w:rPr>
              <w:sz w:val="28"/>
              <w:szCs w:val="28"/>
              <w:highlight w:val="none"/>
            </w:rPr>
            <w:fldChar w:fldCharType="separate"/>
          </w:r>
          <w:r>
            <w:rPr>
              <w:sz w:val="28"/>
              <w:szCs w:val="28"/>
              <w:highlight w:val="none"/>
            </w:rPr>
            <w:t>- 71 -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"_Toc73979896" </w:instrText>
          </w:r>
          <w:r>
            <w:rPr>
              <w:highlight w:val="none"/>
            </w:rPr>
            <w:fldChar w:fldCharType="separate"/>
          </w:r>
          <w:r>
            <w:rPr>
              <w:rStyle w:val="32"/>
              <w:bCs/>
              <w:kern w:val="44"/>
              <w:highlight w:val="none"/>
            </w:rPr>
            <w:t>第六篇  改革开放  持续增强发展动能</w:t>
          </w:r>
          <w:r>
            <w:rPr>
              <w:highlight w:val="none"/>
            </w:rPr>
            <w:tab/>
          </w:r>
          <w:r>
            <w:rPr>
              <w:highlight w:val="none"/>
            </w:rPr>
            <w:fldChar w:fldCharType="begin"/>
          </w:r>
          <w:r>
            <w:rPr>
              <w:highlight w:val="none"/>
            </w:rPr>
            <w:instrText xml:space="preserve"> PAGEREF _Toc73979896 \h </w:instrText>
          </w:r>
          <w:r>
            <w:rPr>
              <w:highlight w:val="none"/>
            </w:rPr>
            <w:fldChar w:fldCharType="separate"/>
          </w:r>
          <w:r>
            <w:rPr>
              <w:highlight w:val="none"/>
            </w:rPr>
            <w:t>- 73 -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"_Toc73979897" </w:instrText>
          </w:r>
          <w:r>
            <w:rPr>
              <w:highlight w:val="none"/>
            </w:rPr>
            <w:fldChar w:fldCharType="separate"/>
          </w:r>
          <w:r>
            <w:rPr>
              <w:rStyle w:val="32"/>
              <w:bCs/>
              <w:sz w:val="28"/>
              <w:szCs w:val="28"/>
              <w:highlight w:val="none"/>
            </w:rPr>
            <w:t>第一章  深化改革  激发农村发展内生动力</w:t>
          </w:r>
          <w:r>
            <w:rPr>
              <w:sz w:val="28"/>
              <w:szCs w:val="28"/>
              <w:highlight w:val="none"/>
            </w:rPr>
            <w:tab/>
          </w:r>
          <w:r>
            <w:rPr>
              <w:sz w:val="28"/>
              <w:szCs w:val="28"/>
              <w:highlight w:val="none"/>
            </w:rPr>
            <w:fldChar w:fldCharType="begin"/>
          </w:r>
          <w:r>
            <w:rPr>
              <w:sz w:val="28"/>
              <w:szCs w:val="28"/>
              <w:highlight w:val="none"/>
            </w:rPr>
            <w:instrText xml:space="preserve"> PAGEREF _Toc73979897 \h </w:instrText>
          </w:r>
          <w:r>
            <w:rPr>
              <w:sz w:val="28"/>
              <w:szCs w:val="28"/>
              <w:highlight w:val="none"/>
            </w:rPr>
            <w:fldChar w:fldCharType="separate"/>
          </w:r>
          <w:r>
            <w:rPr>
              <w:sz w:val="28"/>
              <w:szCs w:val="28"/>
              <w:highlight w:val="none"/>
            </w:rPr>
            <w:t>- 73 -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"_Toc73979898" </w:instrText>
          </w:r>
          <w:r>
            <w:rPr>
              <w:highlight w:val="none"/>
            </w:rPr>
            <w:fldChar w:fldCharType="separate"/>
          </w:r>
          <w:r>
            <w:rPr>
              <w:rStyle w:val="32"/>
              <w:sz w:val="28"/>
              <w:szCs w:val="28"/>
              <w:highlight w:val="none"/>
            </w:rPr>
            <w:t>第一节  深化农村集体产权制度改革</w:t>
          </w:r>
          <w:r>
            <w:rPr>
              <w:sz w:val="28"/>
              <w:szCs w:val="28"/>
              <w:highlight w:val="none"/>
            </w:rPr>
            <w:tab/>
          </w:r>
          <w:r>
            <w:rPr>
              <w:sz w:val="28"/>
              <w:szCs w:val="28"/>
              <w:highlight w:val="none"/>
            </w:rPr>
            <w:fldChar w:fldCharType="begin"/>
          </w:r>
          <w:r>
            <w:rPr>
              <w:sz w:val="28"/>
              <w:szCs w:val="28"/>
              <w:highlight w:val="none"/>
            </w:rPr>
            <w:instrText xml:space="preserve"> PAGEREF _Toc73979898 \h </w:instrText>
          </w:r>
          <w:r>
            <w:rPr>
              <w:sz w:val="28"/>
              <w:szCs w:val="28"/>
              <w:highlight w:val="none"/>
            </w:rPr>
            <w:fldChar w:fldCharType="separate"/>
          </w:r>
          <w:r>
            <w:rPr>
              <w:sz w:val="28"/>
              <w:szCs w:val="28"/>
              <w:highlight w:val="none"/>
            </w:rPr>
            <w:t>- 73 -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"_Toc73979899" </w:instrText>
          </w:r>
          <w:r>
            <w:rPr>
              <w:highlight w:val="none"/>
            </w:rPr>
            <w:fldChar w:fldCharType="separate"/>
          </w:r>
          <w:r>
            <w:rPr>
              <w:rStyle w:val="32"/>
              <w:sz w:val="28"/>
              <w:szCs w:val="28"/>
              <w:highlight w:val="none"/>
            </w:rPr>
            <w:t>第二节  深化农村土地制度改革</w:t>
          </w:r>
          <w:r>
            <w:rPr>
              <w:sz w:val="28"/>
              <w:szCs w:val="28"/>
              <w:highlight w:val="none"/>
            </w:rPr>
            <w:tab/>
          </w:r>
          <w:r>
            <w:rPr>
              <w:sz w:val="28"/>
              <w:szCs w:val="28"/>
              <w:highlight w:val="none"/>
            </w:rPr>
            <w:fldChar w:fldCharType="begin"/>
          </w:r>
          <w:r>
            <w:rPr>
              <w:sz w:val="28"/>
              <w:szCs w:val="28"/>
              <w:highlight w:val="none"/>
            </w:rPr>
            <w:instrText xml:space="preserve"> PAGEREF _Toc73979899 \h </w:instrText>
          </w:r>
          <w:r>
            <w:rPr>
              <w:sz w:val="28"/>
              <w:szCs w:val="28"/>
              <w:highlight w:val="none"/>
            </w:rPr>
            <w:fldChar w:fldCharType="separate"/>
          </w:r>
          <w:r>
            <w:rPr>
              <w:sz w:val="28"/>
              <w:szCs w:val="28"/>
              <w:highlight w:val="none"/>
            </w:rPr>
            <w:t>- 73 -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"_Toc73979900" </w:instrText>
          </w:r>
          <w:r>
            <w:rPr>
              <w:highlight w:val="none"/>
            </w:rPr>
            <w:fldChar w:fldCharType="separate"/>
          </w:r>
          <w:r>
            <w:rPr>
              <w:rStyle w:val="32"/>
              <w:sz w:val="28"/>
              <w:szCs w:val="28"/>
              <w:highlight w:val="none"/>
            </w:rPr>
            <w:t>第三节  做好“两项改革”“后半篇”文章</w:t>
          </w:r>
          <w:r>
            <w:rPr>
              <w:sz w:val="28"/>
              <w:szCs w:val="28"/>
              <w:highlight w:val="none"/>
            </w:rPr>
            <w:tab/>
          </w:r>
          <w:r>
            <w:rPr>
              <w:sz w:val="28"/>
              <w:szCs w:val="28"/>
              <w:highlight w:val="none"/>
            </w:rPr>
            <w:fldChar w:fldCharType="begin"/>
          </w:r>
          <w:r>
            <w:rPr>
              <w:sz w:val="28"/>
              <w:szCs w:val="28"/>
              <w:highlight w:val="none"/>
            </w:rPr>
            <w:instrText xml:space="preserve"> PAGEREF _Toc73979900 \h </w:instrText>
          </w:r>
          <w:r>
            <w:rPr>
              <w:sz w:val="28"/>
              <w:szCs w:val="28"/>
              <w:highlight w:val="none"/>
            </w:rPr>
            <w:fldChar w:fldCharType="separate"/>
          </w:r>
          <w:r>
            <w:rPr>
              <w:sz w:val="28"/>
              <w:szCs w:val="28"/>
              <w:highlight w:val="none"/>
            </w:rPr>
            <w:t>- 74 -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"_Toc73979901" </w:instrText>
          </w:r>
          <w:r>
            <w:rPr>
              <w:highlight w:val="none"/>
            </w:rPr>
            <w:fldChar w:fldCharType="separate"/>
          </w:r>
          <w:r>
            <w:rPr>
              <w:rStyle w:val="32"/>
              <w:sz w:val="28"/>
              <w:szCs w:val="28"/>
              <w:highlight w:val="none"/>
            </w:rPr>
            <w:t>第四节  优化城乡要素配置体制机制</w:t>
          </w:r>
          <w:r>
            <w:rPr>
              <w:sz w:val="28"/>
              <w:szCs w:val="28"/>
              <w:highlight w:val="none"/>
            </w:rPr>
            <w:tab/>
          </w:r>
          <w:r>
            <w:rPr>
              <w:sz w:val="28"/>
              <w:szCs w:val="28"/>
              <w:highlight w:val="none"/>
            </w:rPr>
            <w:fldChar w:fldCharType="begin"/>
          </w:r>
          <w:r>
            <w:rPr>
              <w:sz w:val="28"/>
              <w:szCs w:val="28"/>
              <w:highlight w:val="none"/>
            </w:rPr>
            <w:instrText xml:space="preserve"> PAGEREF _Toc73979901 \h </w:instrText>
          </w:r>
          <w:r>
            <w:rPr>
              <w:sz w:val="28"/>
              <w:szCs w:val="28"/>
              <w:highlight w:val="none"/>
            </w:rPr>
            <w:fldChar w:fldCharType="separate"/>
          </w:r>
          <w:r>
            <w:rPr>
              <w:sz w:val="28"/>
              <w:szCs w:val="28"/>
              <w:highlight w:val="none"/>
            </w:rPr>
            <w:t>- 75 -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"_Toc73979902" </w:instrText>
          </w:r>
          <w:r>
            <w:rPr>
              <w:highlight w:val="none"/>
            </w:rPr>
            <w:fldChar w:fldCharType="separate"/>
          </w:r>
          <w:r>
            <w:rPr>
              <w:rStyle w:val="32"/>
              <w:bCs/>
              <w:sz w:val="28"/>
              <w:szCs w:val="28"/>
              <w:highlight w:val="none"/>
            </w:rPr>
            <w:t>第二章  开放合作  构建互补协同融合新格局</w:t>
          </w:r>
          <w:r>
            <w:rPr>
              <w:sz w:val="28"/>
              <w:szCs w:val="28"/>
              <w:highlight w:val="none"/>
            </w:rPr>
            <w:tab/>
          </w:r>
          <w:r>
            <w:rPr>
              <w:sz w:val="28"/>
              <w:szCs w:val="28"/>
              <w:highlight w:val="none"/>
            </w:rPr>
            <w:fldChar w:fldCharType="begin"/>
          </w:r>
          <w:r>
            <w:rPr>
              <w:sz w:val="28"/>
              <w:szCs w:val="28"/>
              <w:highlight w:val="none"/>
            </w:rPr>
            <w:instrText xml:space="preserve"> PAGEREF _Toc73979902 \h </w:instrText>
          </w:r>
          <w:r>
            <w:rPr>
              <w:sz w:val="28"/>
              <w:szCs w:val="28"/>
              <w:highlight w:val="none"/>
            </w:rPr>
            <w:fldChar w:fldCharType="separate"/>
          </w:r>
          <w:r>
            <w:rPr>
              <w:sz w:val="28"/>
              <w:szCs w:val="28"/>
              <w:highlight w:val="none"/>
            </w:rPr>
            <w:t>- 75 -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"_Toc73979903" </w:instrText>
          </w:r>
          <w:r>
            <w:rPr>
              <w:highlight w:val="none"/>
            </w:rPr>
            <w:fldChar w:fldCharType="separate"/>
          </w:r>
          <w:r>
            <w:rPr>
              <w:rStyle w:val="32"/>
              <w:sz w:val="28"/>
              <w:szCs w:val="28"/>
              <w:highlight w:val="none"/>
            </w:rPr>
            <w:t>第一节  践行成渝双城经济圈协同发展战略</w:t>
          </w:r>
          <w:r>
            <w:rPr>
              <w:sz w:val="28"/>
              <w:szCs w:val="28"/>
              <w:highlight w:val="none"/>
            </w:rPr>
            <w:tab/>
          </w:r>
          <w:r>
            <w:rPr>
              <w:sz w:val="28"/>
              <w:szCs w:val="28"/>
              <w:highlight w:val="none"/>
            </w:rPr>
            <w:fldChar w:fldCharType="begin"/>
          </w:r>
          <w:r>
            <w:rPr>
              <w:sz w:val="28"/>
              <w:szCs w:val="28"/>
              <w:highlight w:val="none"/>
            </w:rPr>
            <w:instrText xml:space="preserve"> PAGEREF _Toc73979903 \h </w:instrText>
          </w:r>
          <w:r>
            <w:rPr>
              <w:sz w:val="28"/>
              <w:szCs w:val="28"/>
              <w:highlight w:val="none"/>
            </w:rPr>
            <w:fldChar w:fldCharType="separate"/>
          </w:r>
          <w:r>
            <w:rPr>
              <w:sz w:val="28"/>
              <w:szCs w:val="28"/>
              <w:highlight w:val="none"/>
            </w:rPr>
            <w:t>- 75 -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"_Toc73979904" </w:instrText>
          </w:r>
          <w:r>
            <w:rPr>
              <w:highlight w:val="none"/>
            </w:rPr>
            <w:fldChar w:fldCharType="separate"/>
          </w:r>
          <w:r>
            <w:rPr>
              <w:rStyle w:val="32"/>
              <w:sz w:val="28"/>
              <w:szCs w:val="28"/>
              <w:highlight w:val="none"/>
            </w:rPr>
            <w:t>第二节  落实万达开川渝统筹发展示范区创建</w:t>
          </w:r>
          <w:r>
            <w:rPr>
              <w:sz w:val="28"/>
              <w:szCs w:val="28"/>
              <w:highlight w:val="none"/>
            </w:rPr>
            <w:tab/>
          </w:r>
          <w:r>
            <w:rPr>
              <w:sz w:val="28"/>
              <w:szCs w:val="28"/>
              <w:highlight w:val="none"/>
            </w:rPr>
            <w:fldChar w:fldCharType="begin"/>
          </w:r>
          <w:r>
            <w:rPr>
              <w:sz w:val="28"/>
              <w:szCs w:val="28"/>
              <w:highlight w:val="none"/>
            </w:rPr>
            <w:instrText xml:space="preserve"> PAGEREF _Toc73979904 \h </w:instrText>
          </w:r>
          <w:r>
            <w:rPr>
              <w:sz w:val="28"/>
              <w:szCs w:val="28"/>
              <w:highlight w:val="none"/>
            </w:rPr>
            <w:fldChar w:fldCharType="separate"/>
          </w:r>
          <w:r>
            <w:rPr>
              <w:sz w:val="28"/>
              <w:szCs w:val="28"/>
              <w:highlight w:val="none"/>
            </w:rPr>
            <w:t>- 76 -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"_Toc73979905" </w:instrText>
          </w:r>
          <w:r>
            <w:rPr>
              <w:highlight w:val="none"/>
            </w:rPr>
            <w:fldChar w:fldCharType="separate"/>
          </w:r>
          <w:r>
            <w:rPr>
              <w:rStyle w:val="32"/>
              <w:sz w:val="28"/>
              <w:szCs w:val="28"/>
              <w:highlight w:val="none"/>
            </w:rPr>
            <w:t>第三节  创新推动农业更高水平开放合作</w:t>
          </w:r>
          <w:r>
            <w:rPr>
              <w:sz w:val="28"/>
              <w:szCs w:val="28"/>
              <w:highlight w:val="none"/>
            </w:rPr>
            <w:tab/>
          </w:r>
          <w:r>
            <w:rPr>
              <w:sz w:val="28"/>
              <w:szCs w:val="28"/>
              <w:highlight w:val="none"/>
            </w:rPr>
            <w:fldChar w:fldCharType="begin"/>
          </w:r>
          <w:r>
            <w:rPr>
              <w:sz w:val="28"/>
              <w:szCs w:val="28"/>
              <w:highlight w:val="none"/>
            </w:rPr>
            <w:instrText xml:space="preserve"> PAGEREF _Toc73979905 \h </w:instrText>
          </w:r>
          <w:r>
            <w:rPr>
              <w:sz w:val="28"/>
              <w:szCs w:val="28"/>
              <w:highlight w:val="none"/>
            </w:rPr>
            <w:fldChar w:fldCharType="separate"/>
          </w:r>
          <w:r>
            <w:rPr>
              <w:sz w:val="28"/>
              <w:szCs w:val="28"/>
              <w:highlight w:val="none"/>
            </w:rPr>
            <w:t>- 76 -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"_Toc73979906" </w:instrText>
          </w:r>
          <w:r>
            <w:rPr>
              <w:highlight w:val="none"/>
            </w:rPr>
            <w:fldChar w:fldCharType="separate"/>
          </w:r>
          <w:r>
            <w:rPr>
              <w:rStyle w:val="32"/>
              <w:bCs/>
              <w:kern w:val="44"/>
              <w:highlight w:val="none"/>
            </w:rPr>
            <w:t>第七篇  强化保障  全力推动规划落地</w:t>
          </w:r>
          <w:r>
            <w:rPr>
              <w:highlight w:val="none"/>
            </w:rPr>
            <w:tab/>
          </w:r>
          <w:r>
            <w:rPr>
              <w:highlight w:val="none"/>
            </w:rPr>
            <w:fldChar w:fldCharType="begin"/>
          </w:r>
          <w:r>
            <w:rPr>
              <w:highlight w:val="none"/>
            </w:rPr>
            <w:instrText xml:space="preserve"> PAGEREF _Toc73979906 \h </w:instrText>
          </w:r>
          <w:r>
            <w:rPr>
              <w:highlight w:val="none"/>
            </w:rPr>
            <w:fldChar w:fldCharType="separate"/>
          </w:r>
          <w:r>
            <w:rPr>
              <w:highlight w:val="none"/>
            </w:rPr>
            <w:t>- 79 -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"_Toc73979907" </w:instrText>
          </w:r>
          <w:r>
            <w:rPr>
              <w:highlight w:val="none"/>
            </w:rPr>
            <w:fldChar w:fldCharType="separate"/>
          </w:r>
          <w:r>
            <w:rPr>
              <w:rStyle w:val="32"/>
              <w:bCs/>
              <w:sz w:val="28"/>
              <w:szCs w:val="28"/>
              <w:highlight w:val="none"/>
            </w:rPr>
            <w:t>第一章  加强党对“三农”工作的领导</w:t>
          </w:r>
          <w:r>
            <w:rPr>
              <w:sz w:val="28"/>
              <w:szCs w:val="28"/>
              <w:highlight w:val="none"/>
            </w:rPr>
            <w:tab/>
          </w:r>
          <w:r>
            <w:rPr>
              <w:sz w:val="28"/>
              <w:szCs w:val="28"/>
              <w:highlight w:val="none"/>
            </w:rPr>
            <w:fldChar w:fldCharType="begin"/>
          </w:r>
          <w:r>
            <w:rPr>
              <w:sz w:val="28"/>
              <w:szCs w:val="28"/>
              <w:highlight w:val="none"/>
            </w:rPr>
            <w:instrText xml:space="preserve"> PAGEREF _Toc73979907 \h </w:instrText>
          </w:r>
          <w:r>
            <w:rPr>
              <w:sz w:val="28"/>
              <w:szCs w:val="28"/>
              <w:highlight w:val="none"/>
            </w:rPr>
            <w:fldChar w:fldCharType="separate"/>
          </w:r>
          <w:r>
            <w:rPr>
              <w:sz w:val="28"/>
              <w:szCs w:val="28"/>
              <w:highlight w:val="none"/>
            </w:rPr>
            <w:t>- 79 -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"_Toc73979908" </w:instrText>
          </w:r>
          <w:r>
            <w:rPr>
              <w:highlight w:val="none"/>
            </w:rPr>
            <w:fldChar w:fldCharType="separate"/>
          </w:r>
          <w:r>
            <w:rPr>
              <w:rStyle w:val="32"/>
              <w:bCs/>
              <w:sz w:val="28"/>
              <w:szCs w:val="28"/>
              <w:highlight w:val="none"/>
            </w:rPr>
            <w:t>第二章  建立完备规划体系</w:t>
          </w:r>
          <w:r>
            <w:rPr>
              <w:sz w:val="28"/>
              <w:szCs w:val="28"/>
              <w:highlight w:val="none"/>
            </w:rPr>
            <w:tab/>
          </w:r>
          <w:r>
            <w:rPr>
              <w:sz w:val="28"/>
              <w:szCs w:val="28"/>
              <w:highlight w:val="none"/>
            </w:rPr>
            <w:fldChar w:fldCharType="begin"/>
          </w:r>
          <w:r>
            <w:rPr>
              <w:sz w:val="28"/>
              <w:szCs w:val="28"/>
              <w:highlight w:val="none"/>
            </w:rPr>
            <w:instrText xml:space="preserve"> PAGEREF _Toc73979908 \h </w:instrText>
          </w:r>
          <w:r>
            <w:rPr>
              <w:sz w:val="28"/>
              <w:szCs w:val="28"/>
              <w:highlight w:val="none"/>
            </w:rPr>
            <w:fldChar w:fldCharType="separate"/>
          </w:r>
          <w:r>
            <w:rPr>
              <w:sz w:val="28"/>
              <w:szCs w:val="28"/>
              <w:highlight w:val="none"/>
            </w:rPr>
            <w:t>- 79 -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"_Toc73979909" </w:instrText>
          </w:r>
          <w:r>
            <w:rPr>
              <w:highlight w:val="none"/>
            </w:rPr>
            <w:fldChar w:fldCharType="separate"/>
          </w:r>
          <w:r>
            <w:rPr>
              <w:rStyle w:val="32"/>
              <w:bCs/>
              <w:sz w:val="28"/>
              <w:szCs w:val="28"/>
              <w:highlight w:val="none"/>
            </w:rPr>
            <w:t>第三章  强化政策支撑引领</w:t>
          </w:r>
          <w:r>
            <w:rPr>
              <w:sz w:val="28"/>
              <w:szCs w:val="28"/>
              <w:highlight w:val="none"/>
            </w:rPr>
            <w:tab/>
          </w:r>
          <w:r>
            <w:rPr>
              <w:sz w:val="28"/>
              <w:szCs w:val="28"/>
              <w:highlight w:val="none"/>
            </w:rPr>
            <w:fldChar w:fldCharType="begin"/>
          </w:r>
          <w:r>
            <w:rPr>
              <w:sz w:val="28"/>
              <w:szCs w:val="28"/>
              <w:highlight w:val="none"/>
            </w:rPr>
            <w:instrText xml:space="preserve"> PAGEREF _Toc73979909 \h </w:instrText>
          </w:r>
          <w:r>
            <w:rPr>
              <w:sz w:val="28"/>
              <w:szCs w:val="28"/>
              <w:highlight w:val="none"/>
            </w:rPr>
            <w:fldChar w:fldCharType="separate"/>
          </w:r>
          <w:r>
            <w:rPr>
              <w:sz w:val="28"/>
              <w:szCs w:val="28"/>
              <w:highlight w:val="none"/>
            </w:rPr>
            <w:t>- 80 -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"_Toc73979910" </w:instrText>
          </w:r>
          <w:r>
            <w:rPr>
              <w:highlight w:val="none"/>
            </w:rPr>
            <w:fldChar w:fldCharType="separate"/>
          </w:r>
          <w:r>
            <w:rPr>
              <w:rStyle w:val="32"/>
              <w:bCs/>
              <w:sz w:val="28"/>
              <w:szCs w:val="28"/>
              <w:highlight w:val="none"/>
            </w:rPr>
            <w:t>第四章  提升资金保障能力</w:t>
          </w:r>
          <w:r>
            <w:rPr>
              <w:sz w:val="28"/>
              <w:szCs w:val="28"/>
              <w:highlight w:val="none"/>
            </w:rPr>
            <w:tab/>
          </w:r>
          <w:r>
            <w:rPr>
              <w:sz w:val="28"/>
              <w:szCs w:val="28"/>
              <w:highlight w:val="none"/>
            </w:rPr>
            <w:fldChar w:fldCharType="begin"/>
          </w:r>
          <w:r>
            <w:rPr>
              <w:sz w:val="28"/>
              <w:szCs w:val="28"/>
              <w:highlight w:val="none"/>
            </w:rPr>
            <w:instrText xml:space="preserve"> PAGEREF _Toc73979910 \h </w:instrText>
          </w:r>
          <w:r>
            <w:rPr>
              <w:sz w:val="28"/>
              <w:szCs w:val="28"/>
              <w:highlight w:val="none"/>
            </w:rPr>
            <w:fldChar w:fldCharType="separate"/>
          </w:r>
          <w:r>
            <w:rPr>
              <w:sz w:val="28"/>
              <w:szCs w:val="28"/>
              <w:highlight w:val="none"/>
            </w:rPr>
            <w:t>- 80 -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"_Toc73979911" </w:instrText>
          </w:r>
          <w:r>
            <w:rPr>
              <w:highlight w:val="none"/>
            </w:rPr>
            <w:fldChar w:fldCharType="separate"/>
          </w:r>
          <w:r>
            <w:rPr>
              <w:rStyle w:val="32"/>
              <w:bCs/>
              <w:sz w:val="28"/>
              <w:szCs w:val="28"/>
              <w:highlight w:val="none"/>
            </w:rPr>
            <w:t>第五章  强化重大项目支撑</w:t>
          </w:r>
          <w:r>
            <w:rPr>
              <w:sz w:val="28"/>
              <w:szCs w:val="28"/>
              <w:highlight w:val="none"/>
            </w:rPr>
            <w:tab/>
          </w:r>
          <w:r>
            <w:rPr>
              <w:sz w:val="28"/>
              <w:szCs w:val="28"/>
              <w:highlight w:val="none"/>
            </w:rPr>
            <w:fldChar w:fldCharType="begin"/>
          </w:r>
          <w:r>
            <w:rPr>
              <w:sz w:val="28"/>
              <w:szCs w:val="28"/>
              <w:highlight w:val="none"/>
            </w:rPr>
            <w:instrText xml:space="preserve"> PAGEREF _Toc73979911 \h </w:instrText>
          </w:r>
          <w:r>
            <w:rPr>
              <w:sz w:val="28"/>
              <w:szCs w:val="28"/>
              <w:highlight w:val="none"/>
            </w:rPr>
            <w:fldChar w:fldCharType="separate"/>
          </w:r>
          <w:r>
            <w:rPr>
              <w:sz w:val="28"/>
              <w:szCs w:val="28"/>
              <w:highlight w:val="none"/>
            </w:rPr>
            <w:t>- 81 -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"_Toc73979912" </w:instrText>
          </w:r>
          <w:r>
            <w:rPr>
              <w:highlight w:val="none"/>
            </w:rPr>
            <w:fldChar w:fldCharType="separate"/>
          </w:r>
          <w:r>
            <w:rPr>
              <w:rStyle w:val="32"/>
              <w:bCs/>
              <w:sz w:val="28"/>
              <w:szCs w:val="28"/>
              <w:highlight w:val="none"/>
            </w:rPr>
            <w:t>第六章  加强规划实绩考核</w:t>
          </w:r>
          <w:r>
            <w:rPr>
              <w:sz w:val="28"/>
              <w:szCs w:val="28"/>
              <w:highlight w:val="none"/>
            </w:rPr>
            <w:tab/>
          </w:r>
          <w:r>
            <w:rPr>
              <w:sz w:val="28"/>
              <w:szCs w:val="28"/>
              <w:highlight w:val="none"/>
            </w:rPr>
            <w:fldChar w:fldCharType="begin"/>
          </w:r>
          <w:r>
            <w:rPr>
              <w:sz w:val="28"/>
              <w:szCs w:val="28"/>
              <w:highlight w:val="none"/>
            </w:rPr>
            <w:instrText xml:space="preserve"> PAGEREF _Toc73979912 \h </w:instrText>
          </w:r>
          <w:r>
            <w:rPr>
              <w:sz w:val="28"/>
              <w:szCs w:val="28"/>
              <w:highlight w:val="none"/>
            </w:rPr>
            <w:fldChar w:fldCharType="separate"/>
          </w:r>
          <w:r>
            <w:rPr>
              <w:sz w:val="28"/>
              <w:szCs w:val="28"/>
              <w:highlight w:val="none"/>
            </w:rPr>
            <w:t>- 81 -</w:t>
          </w:r>
          <w:r>
            <w:rPr>
              <w:sz w:val="28"/>
              <w:szCs w:val="28"/>
              <w:highlight w:val="none"/>
            </w:rPr>
            <w:fldChar w:fldCharType="end"/>
          </w:r>
          <w:r>
            <w:rPr>
              <w:sz w:val="28"/>
              <w:szCs w:val="28"/>
              <w:highlight w:val="none"/>
            </w:rPr>
            <w:fldChar w:fldCharType="end"/>
          </w:r>
        </w:p>
        <w:p>
          <w:pPr>
            <w:pStyle w:val="16"/>
            <w:spacing w:line="440" w:lineRule="exact"/>
            <w:ind w:firstLine="0" w:firstLineChars="0"/>
            <w:rPr>
              <w:b w:val="0"/>
              <w:highlight w:val="none"/>
            </w:rPr>
          </w:pPr>
          <w:r>
            <w:rPr>
              <w:highlight w:val="none"/>
            </w:rPr>
            <w:fldChar w:fldCharType="begin"/>
          </w:r>
          <w:r>
            <w:rPr>
              <w:highlight w:val="none"/>
            </w:rPr>
            <w:instrText xml:space="preserve"> HYPERLINK \l "_Toc73979913" </w:instrText>
          </w:r>
          <w:r>
            <w:rPr>
              <w:highlight w:val="none"/>
            </w:rPr>
            <w:fldChar w:fldCharType="separate"/>
          </w:r>
          <w:r>
            <w:rPr>
              <w:rStyle w:val="32"/>
              <w:bCs/>
              <w:kern w:val="44"/>
              <w:highlight w:val="none"/>
            </w:rPr>
            <w:t>第八篇  环境影响评价</w:t>
          </w:r>
          <w:r>
            <w:rPr>
              <w:highlight w:val="none"/>
            </w:rPr>
            <w:tab/>
          </w:r>
          <w:r>
            <w:rPr>
              <w:highlight w:val="none"/>
            </w:rPr>
            <w:fldChar w:fldCharType="begin"/>
          </w:r>
          <w:r>
            <w:rPr>
              <w:highlight w:val="none"/>
            </w:rPr>
            <w:instrText xml:space="preserve"> PAGEREF _Toc73979913 \h </w:instrText>
          </w:r>
          <w:r>
            <w:rPr>
              <w:highlight w:val="none"/>
            </w:rPr>
            <w:fldChar w:fldCharType="separate"/>
          </w:r>
          <w:r>
            <w:rPr>
              <w:highlight w:val="none"/>
            </w:rPr>
            <w:t>- 83 -</w:t>
          </w:r>
          <w:r>
            <w:rPr>
              <w:highlight w:val="none"/>
            </w:rPr>
            <w:fldChar w:fldCharType="end"/>
          </w:r>
          <w:r>
            <w:rPr>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"_Toc73979914" </w:instrText>
          </w:r>
          <w:r>
            <w:rPr>
              <w:highlight w:val="none"/>
            </w:rPr>
            <w:fldChar w:fldCharType="separate"/>
          </w:r>
          <w:r>
            <w:rPr>
              <w:rStyle w:val="32"/>
              <w:bCs/>
              <w:sz w:val="28"/>
              <w:szCs w:val="28"/>
              <w:highlight w:val="none"/>
            </w:rPr>
            <w:t>第一章  达州市农业农村环境基本现状</w:t>
          </w:r>
          <w:r>
            <w:rPr>
              <w:sz w:val="28"/>
              <w:szCs w:val="28"/>
              <w:highlight w:val="none"/>
            </w:rPr>
            <w:tab/>
          </w:r>
          <w:r>
            <w:rPr>
              <w:sz w:val="28"/>
              <w:szCs w:val="28"/>
              <w:highlight w:val="none"/>
            </w:rPr>
            <w:fldChar w:fldCharType="begin"/>
          </w:r>
          <w:r>
            <w:rPr>
              <w:sz w:val="28"/>
              <w:szCs w:val="28"/>
              <w:highlight w:val="none"/>
            </w:rPr>
            <w:instrText xml:space="preserve"> PAGEREF _Toc73979914 \h </w:instrText>
          </w:r>
          <w:r>
            <w:rPr>
              <w:sz w:val="28"/>
              <w:szCs w:val="28"/>
              <w:highlight w:val="none"/>
            </w:rPr>
            <w:fldChar w:fldCharType="separate"/>
          </w:r>
          <w:r>
            <w:rPr>
              <w:sz w:val="28"/>
              <w:szCs w:val="28"/>
              <w:highlight w:val="none"/>
            </w:rPr>
            <w:t>- 83 -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"_Toc73979915" </w:instrText>
          </w:r>
          <w:r>
            <w:rPr>
              <w:highlight w:val="none"/>
            </w:rPr>
            <w:fldChar w:fldCharType="separate"/>
          </w:r>
          <w:r>
            <w:rPr>
              <w:rStyle w:val="32"/>
              <w:bCs/>
              <w:sz w:val="28"/>
              <w:szCs w:val="28"/>
              <w:highlight w:val="none"/>
            </w:rPr>
            <w:t>第二章  规划实施可能造成的主要影响</w:t>
          </w:r>
          <w:r>
            <w:rPr>
              <w:sz w:val="28"/>
              <w:szCs w:val="28"/>
              <w:highlight w:val="none"/>
            </w:rPr>
            <w:tab/>
          </w:r>
          <w:r>
            <w:rPr>
              <w:sz w:val="28"/>
              <w:szCs w:val="28"/>
              <w:highlight w:val="none"/>
            </w:rPr>
            <w:fldChar w:fldCharType="begin"/>
          </w:r>
          <w:r>
            <w:rPr>
              <w:sz w:val="28"/>
              <w:szCs w:val="28"/>
              <w:highlight w:val="none"/>
            </w:rPr>
            <w:instrText xml:space="preserve"> PAGEREF _Toc73979915 \h </w:instrText>
          </w:r>
          <w:r>
            <w:rPr>
              <w:sz w:val="28"/>
              <w:szCs w:val="28"/>
              <w:highlight w:val="none"/>
            </w:rPr>
            <w:fldChar w:fldCharType="separate"/>
          </w:r>
          <w:r>
            <w:rPr>
              <w:sz w:val="28"/>
              <w:szCs w:val="28"/>
              <w:highlight w:val="none"/>
            </w:rPr>
            <w:t>- 84 -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"_Toc73979916" </w:instrText>
          </w:r>
          <w:r>
            <w:rPr>
              <w:highlight w:val="none"/>
            </w:rPr>
            <w:fldChar w:fldCharType="separate"/>
          </w:r>
          <w:r>
            <w:rPr>
              <w:rStyle w:val="32"/>
              <w:sz w:val="28"/>
              <w:szCs w:val="28"/>
              <w:highlight w:val="none"/>
            </w:rPr>
            <w:t>第一节  与相关规划的协调性分析</w:t>
          </w:r>
          <w:r>
            <w:rPr>
              <w:sz w:val="28"/>
              <w:szCs w:val="28"/>
              <w:highlight w:val="none"/>
            </w:rPr>
            <w:tab/>
          </w:r>
          <w:r>
            <w:rPr>
              <w:sz w:val="28"/>
              <w:szCs w:val="28"/>
              <w:highlight w:val="none"/>
            </w:rPr>
            <w:fldChar w:fldCharType="begin"/>
          </w:r>
          <w:r>
            <w:rPr>
              <w:sz w:val="28"/>
              <w:szCs w:val="28"/>
              <w:highlight w:val="none"/>
            </w:rPr>
            <w:instrText xml:space="preserve"> PAGEREF _Toc73979916 \h </w:instrText>
          </w:r>
          <w:r>
            <w:rPr>
              <w:sz w:val="28"/>
              <w:szCs w:val="28"/>
              <w:highlight w:val="none"/>
            </w:rPr>
            <w:fldChar w:fldCharType="separate"/>
          </w:r>
          <w:r>
            <w:rPr>
              <w:sz w:val="28"/>
              <w:szCs w:val="28"/>
              <w:highlight w:val="none"/>
            </w:rPr>
            <w:t>- 84 -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"_Toc73979917" </w:instrText>
          </w:r>
          <w:r>
            <w:rPr>
              <w:highlight w:val="none"/>
            </w:rPr>
            <w:fldChar w:fldCharType="separate"/>
          </w:r>
          <w:r>
            <w:rPr>
              <w:rStyle w:val="32"/>
              <w:sz w:val="28"/>
              <w:szCs w:val="28"/>
              <w:highlight w:val="none"/>
            </w:rPr>
            <w:t>第二节  规划实施后对生态环境的正面影响</w:t>
          </w:r>
          <w:r>
            <w:rPr>
              <w:sz w:val="28"/>
              <w:szCs w:val="28"/>
              <w:highlight w:val="none"/>
            </w:rPr>
            <w:tab/>
          </w:r>
          <w:r>
            <w:rPr>
              <w:sz w:val="28"/>
              <w:szCs w:val="28"/>
              <w:highlight w:val="none"/>
            </w:rPr>
            <w:fldChar w:fldCharType="begin"/>
          </w:r>
          <w:r>
            <w:rPr>
              <w:sz w:val="28"/>
              <w:szCs w:val="28"/>
              <w:highlight w:val="none"/>
            </w:rPr>
            <w:instrText xml:space="preserve"> PAGEREF _Toc73979917 \h </w:instrText>
          </w:r>
          <w:r>
            <w:rPr>
              <w:sz w:val="28"/>
              <w:szCs w:val="28"/>
              <w:highlight w:val="none"/>
            </w:rPr>
            <w:fldChar w:fldCharType="separate"/>
          </w:r>
          <w:r>
            <w:rPr>
              <w:sz w:val="28"/>
              <w:szCs w:val="28"/>
              <w:highlight w:val="none"/>
            </w:rPr>
            <w:t>- 84 -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"_Toc73979918" </w:instrText>
          </w:r>
          <w:r>
            <w:rPr>
              <w:highlight w:val="none"/>
            </w:rPr>
            <w:fldChar w:fldCharType="separate"/>
          </w:r>
          <w:r>
            <w:rPr>
              <w:rStyle w:val="32"/>
              <w:sz w:val="28"/>
              <w:szCs w:val="28"/>
              <w:highlight w:val="none"/>
            </w:rPr>
            <w:t>第三节  规划实施后对生态环境的负面影响</w:t>
          </w:r>
          <w:r>
            <w:rPr>
              <w:sz w:val="28"/>
              <w:szCs w:val="28"/>
              <w:highlight w:val="none"/>
            </w:rPr>
            <w:tab/>
          </w:r>
          <w:r>
            <w:rPr>
              <w:sz w:val="28"/>
              <w:szCs w:val="28"/>
              <w:highlight w:val="none"/>
            </w:rPr>
            <w:fldChar w:fldCharType="begin"/>
          </w:r>
          <w:r>
            <w:rPr>
              <w:sz w:val="28"/>
              <w:szCs w:val="28"/>
              <w:highlight w:val="none"/>
            </w:rPr>
            <w:instrText xml:space="preserve"> PAGEREF _Toc73979918 \h </w:instrText>
          </w:r>
          <w:r>
            <w:rPr>
              <w:sz w:val="28"/>
              <w:szCs w:val="28"/>
              <w:highlight w:val="none"/>
            </w:rPr>
            <w:fldChar w:fldCharType="separate"/>
          </w:r>
          <w:r>
            <w:rPr>
              <w:sz w:val="28"/>
              <w:szCs w:val="28"/>
              <w:highlight w:val="none"/>
            </w:rPr>
            <w:t>- 85 -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sz w:val="28"/>
              <w:szCs w:val="28"/>
              <w:highlight w:val="none"/>
            </w:rPr>
          </w:pPr>
          <w:r>
            <w:rPr>
              <w:highlight w:val="none"/>
            </w:rPr>
            <w:fldChar w:fldCharType="begin"/>
          </w:r>
          <w:r>
            <w:rPr>
              <w:highlight w:val="none"/>
            </w:rPr>
            <w:instrText xml:space="preserve"> HYPERLINK \l "_Toc73979919" </w:instrText>
          </w:r>
          <w:r>
            <w:rPr>
              <w:highlight w:val="none"/>
            </w:rPr>
            <w:fldChar w:fldCharType="separate"/>
          </w:r>
          <w:r>
            <w:rPr>
              <w:rStyle w:val="32"/>
              <w:bCs/>
              <w:sz w:val="28"/>
              <w:szCs w:val="28"/>
              <w:highlight w:val="none"/>
            </w:rPr>
            <w:t>第三章  拟采取的主要环境保护措施</w:t>
          </w:r>
          <w:r>
            <w:rPr>
              <w:sz w:val="28"/>
              <w:szCs w:val="28"/>
              <w:highlight w:val="none"/>
            </w:rPr>
            <w:tab/>
          </w:r>
          <w:r>
            <w:rPr>
              <w:sz w:val="28"/>
              <w:szCs w:val="28"/>
              <w:highlight w:val="none"/>
            </w:rPr>
            <w:fldChar w:fldCharType="begin"/>
          </w:r>
          <w:r>
            <w:rPr>
              <w:sz w:val="28"/>
              <w:szCs w:val="28"/>
              <w:highlight w:val="none"/>
            </w:rPr>
            <w:instrText xml:space="preserve"> PAGEREF _Toc73979919 \h </w:instrText>
          </w:r>
          <w:r>
            <w:rPr>
              <w:sz w:val="28"/>
              <w:szCs w:val="28"/>
              <w:highlight w:val="none"/>
            </w:rPr>
            <w:fldChar w:fldCharType="separate"/>
          </w:r>
          <w:r>
            <w:rPr>
              <w:sz w:val="28"/>
              <w:szCs w:val="28"/>
              <w:highlight w:val="none"/>
            </w:rPr>
            <w:t>- 85 -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"_Toc73979920" </w:instrText>
          </w:r>
          <w:r>
            <w:rPr>
              <w:highlight w:val="none"/>
            </w:rPr>
            <w:fldChar w:fldCharType="separate"/>
          </w:r>
          <w:r>
            <w:rPr>
              <w:rStyle w:val="32"/>
              <w:sz w:val="28"/>
              <w:szCs w:val="28"/>
              <w:highlight w:val="none"/>
            </w:rPr>
            <w:t>第一节  多措并举，抓好农业污染防治</w:t>
          </w:r>
          <w:r>
            <w:rPr>
              <w:sz w:val="28"/>
              <w:szCs w:val="28"/>
              <w:highlight w:val="none"/>
            </w:rPr>
            <w:tab/>
          </w:r>
          <w:r>
            <w:rPr>
              <w:sz w:val="28"/>
              <w:szCs w:val="28"/>
              <w:highlight w:val="none"/>
            </w:rPr>
            <w:fldChar w:fldCharType="begin"/>
          </w:r>
          <w:r>
            <w:rPr>
              <w:sz w:val="28"/>
              <w:szCs w:val="28"/>
              <w:highlight w:val="none"/>
            </w:rPr>
            <w:instrText xml:space="preserve"> PAGEREF _Toc73979920 \h </w:instrText>
          </w:r>
          <w:r>
            <w:rPr>
              <w:sz w:val="28"/>
              <w:szCs w:val="28"/>
              <w:highlight w:val="none"/>
            </w:rPr>
            <w:fldChar w:fldCharType="separate"/>
          </w:r>
          <w:r>
            <w:rPr>
              <w:sz w:val="28"/>
              <w:szCs w:val="28"/>
              <w:highlight w:val="none"/>
            </w:rPr>
            <w:t>- 85 -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"_Toc73979921" </w:instrText>
          </w:r>
          <w:r>
            <w:rPr>
              <w:highlight w:val="none"/>
            </w:rPr>
            <w:fldChar w:fldCharType="separate"/>
          </w:r>
          <w:r>
            <w:rPr>
              <w:rStyle w:val="32"/>
              <w:sz w:val="28"/>
              <w:szCs w:val="28"/>
              <w:highlight w:val="none"/>
            </w:rPr>
            <w:t>第二节  突出重点，强化农村环境整治</w:t>
          </w:r>
          <w:r>
            <w:rPr>
              <w:sz w:val="28"/>
              <w:szCs w:val="28"/>
              <w:highlight w:val="none"/>
            </w:rPr>
            <w:tab/>
          </w:r>
          <w:r>
            <w:rPr>
              <w:sz w:val="28"/>
              <w:szCs w:val="28"/>
              <w:highlight w:val="none"/>
            </w:rPr>
            <w:fldChar w:fldCharType="begin"/>
          </w:r>
          <w:r>
            <w:rPr>
              <w:sz w:val="28"/>
              <w:szCs w:val="28"/>
              <w:highlight w:val="none"/>
            </w:rPr>
            <w:instrText xml:space="preserve"> PAGEREF _Toc73979921 \h </w:instrText>
          </w:r>
          <w:r>
            <w:rPr>
              <w:sz w:val="28"/>
              <w:szCs w:val="28"/>
              <w:highlight w:val="none"/>
            </w:rPr>
            <w:fldChar w:fldCharType="separate"/>
          </w:r>
          <w:r>
            <w:rPr>
              <w:sz w:val="28"/>
              <w:szCs w:val="28"/>
              <w:highlight w:val="none"/>
            </w:rPr>
            <w:t>- 86 -</w:t>
          </w:r>
          <w:r>
            <w:rPr>
              <w:sz w:val="28"/>
              <w:szCs w:val="28"/>
              <w:highlight w:val="none"/>
            </w:rPr>
            <w:fldChar w:fldCharType="end"/>
          </w:r>
          <w:r>
            <w:rPr>
              <w:sz w:val="28"/>
              <w:szCs w:val="28"/>
              <w:highlight w:val="none"/>
            </w:rPr>
            <w:fldChar w:fldCharType="end"/>
          </w:r>
        </w:p>
        <w:p>
          <w:pPr>
            <w:pStyle w:val="11"/>
            <w:tabs>
              <w:tab w:val="right" w:leader="dot" w:pos="8835"/>
            </w:tabs>
            <w:spacing w:line="440" w:lineRule="exact"/>
            <w:ind w:left="1280" w:firstLine="0" w:firstLineChars="0"/>
            <w:rPr>
              <w:sz w:val="28"/>
              <w:szCs w:val="28"/>
              <w:highlight w:val="none"/>
            </w:rPr>
          </w:pPr>
          <w:r>
            <w:rPr>
              <w:highlight w:val="none"/>
            </w:rPr>
            <w:fldChar w:fldCharType="begin"/>
          </w:r>
          <w:r>
            <w:rPr>
              <w:highlight w:val="none"/>
            </w:rPr>
            <w:instrText xml:space="preserve"> HYPERLINK \l "_Toc73979922" </w:instrText>
          </w:r>
          <w:r>
            <w:rPr>
              <w:highlight w:val="none"/>
            </w:rPr>
            <w:fldChar w:fldCharType="separate"/>
          </w:r>
          <w:r>
            <w:rPr>
              <w:rStyle w:val="32"/>
              <w:sz w:val="28"/>
              <w:szCs w:val="28"/>
              <w:highlight w:val="none"/>
            </w:rPr>
            <w:t>第三节  强化宣传，提升群众参与度</w:t>
          </w:r>
          <w:r>
            <w:rPr>
              <w:sz w:val="28"/>
              <w:szCs w:val="28"/>
              <w:highlight w:val="none"/>
            </w:rPr>
            <w:tab/>
          </w:r>
          <w:r>
            <w:rPr>
              <w:sz w:val="28"/>
              <w:szCs w:val="28"/>
              <w:highlight w:val="none"/>
            </w:rPr>
            <w:fldChar w:fldCharType="begin"/>
          </w:r>
          <w:r>
            <w:rPr>
              <w:sz w:val="28"/>
              <w:szCs w:val="28"/>
              <w:highlight w:val="none"/>
            </w:rPr>
            <w:instrText xml:space="preserve"> PAGEREF _Toc73979922 \h </w:instrText>
          </w:r>
          <w:r>
            <w:rPr>
              <w:sz w:val="28"/>
              <w:szCs w:val="28"/>
              <w:highlight w:val="none"/>
            </w:rPr>
            <w:fldChar w:fldCharType="separate"/>
          </w:r>
          <w:r>
            <w:rPr>
              <w:sz w:val="28"/>
              <w:szCs w:val="28"/>
              <w:highlight w:val="none"/>
            </w:rPr>
            <w:t>- 86 -</w:t>
          </w:r>
          <w:r>
            <w:rPr>
              <w:sz w:val="28"/>
              <w:szCs w:val="28"/>
              <w:highlight w:val="none"/>
            </w:rPr>
            <w:fldChar w:fldCharType="end"/>
          </w:r>
          <w:r>
            <w:rPr>
              <w:sz w:val="28"/>
              <w:szCs w:val="28"/>
              <w:highlight w:val="none"/>
            </w:rPr>
            <w:fldChar w:fldCharType="end"/>
          </w:r>
        </w:p>
        <w:p>
          <w:pPr>
            <w:pStyle w:val="20"/>
            <w:tabs>
              <w:tab w:val="right" w:leader="dot" w:pos="8835"/>
            </w:tabs>
            <w:spacing w:line="440" w:lineRule="exact"/>
            <w:ind w:left="640" w:firstLine="0" w:firstLineChars="0"/>
            <w:rPr>
              <w:highlight w:val="none"/>
            </w:rPr>
          </w:pPr>
          <w:r>
            <w:rPr>
              <w:b/>
              <w:bCs/>
              <w:sz w:val="28"/>
              <w:szCs w:val="28"/>
              <w:highlight w:val="none"/>
              <w:lang w:val="zh-CN"/>
            </w:rPr>
            <w:fldChar w:fldCharType="end"/>
          </w:r>
        </w:p>
      </w:sdtContent>
    </w:sdt>
    <w:p>
      <w:pPr>
        <w:pStyle w:val="2"/>
        <w:ind w:firstLine="0" w:firstLineChars="0"/>
        <w:rPr>
          <w:highlight w:val="none"/>
        </w:rPr>
      </w:pPr>
    </w:p>
    <w:p>
      <w:pPr>
        <w:pStyle w:val="2"/>
        <w:ind w:firstLine="0" w:firstLineChars="0"/>
        <w:rPr>
          <w:highlight w:val="none"/>
        </w:rPr>
        <w:sectPr>
          <w:footerReference r:id="rId11" w:type="default"/>
          <w:footerReference r:id="rId12" w:type="even"/>
          <w:pgSz w:w="11906" w:h="16838"/>
          <w:pgMar w:top="2098" w:right="1474" w:bottom="1984" w:left="1587" w:header="851" w:footer="850" w:gutter="0"/>
          <w:pgNumType w:fmt="upperRoman" w:start="1"/>
          <w:cols w:space="0" w:num="1"/>
          <w:docGrid w:type="lines" w:linePitch="435" w:charSpace="0"/>
        </w:sectPr>
      </w:pPr>
    </w:p>
    <w:p>
      <w:pPr>
        <w:pStyle w:val="3"/>
        <w:rPr>
          <w:sz w:val="44"/>
          <w:highlight w:val="none"/>
        </w:rPr>
      </w:pPr>
      <w:bookmarkStart w:id="3" w:name="_Toc73979836"/>
      <w:r>
        <w:rPr>
          <w:sz w:val="44"/>
          <w:highlight w:val="none"/>
        </w:rPr>
        <w:t>前  言</w:t>
      </w:r>
      <w:bookmarkEnd w:id="3"/>
    </w:p>
    <w:p>
      <w:pPr>
        <w:ind w:firstLine="640"/>
        <w:rPr>
          <w:szCs w:val="32"/>
          <w:highlight w:val="none"/>
        </w:rPr>
      </w:pPr>
      <w:r>
        <w:rPr>
          <w:szCs w:val="32"/>
          <w:highlight w:val="none"/>
        </w:rPr>
        <w:t>“十四五”时期，是乘势而上开启全面建设社会主义现代化达州新征程、推动达州“三农”工作再上新台阶的第一个五年，也是我市脱贫攻坚任务胜利完成后，巩固拓展脱贫攻坚成果，全面推进乡村振兴、加快农业农村现代化的关键五年。加快农业农村现代化，是形成新型工农</w:t>
      </w:r>
      <w:r>
        <w:rPr>
          <w:rFonts w:hint="eastAsia"/>
          <w:szCs w:val="32"/>
          <w:highlight w:val="none"/>
        </w:rPr>
        <w:t>城乡</w:t>
      </w:r>
      <w:r>
        <w:rPr>
          <w:szCs w:val="32"/>
          <w:highlight w:val="none"/>
        </w:rPr>
        <w:t>关系的客观要求、是社会主义现代化达州建设的重大任务、是做好新时代“三农”工作的核心目标。</w:t>
      </w:r>
    </w:p>
    <w:p>
      <w:pPr>
        <w:ind w:firstLine="640"/>
        <w:rPr>
          <w:szCs w:val="32"/>
          <w:highlight w:val="none"/>
        </w:rPr>
      </w:pPr>
      <w:r>
        <w:rPr>
          <w:szCs w:val="32"/>
          <w:highlight w:val="none"/>
        </w:rPr>
        <w:t>为贯彻落实《达州市国民经济和社会发展第十四个五年规划和二Ο三五年远景目标纲要》和《四川省“十四五”</w:t>
      </w:r>
      <w:r>
        <w:rPr>
          <w:rFonts w:hint="eastAsia"/>
          <w:szCs w:val="32"/>
          <w:highlight w:val="none"/>
        </w:rPr>
        <w:t>推进</w:t>
      </w:r>
      <w:r>
        <w:rPr>
          <w:szCs w:val="32"/>
          <w:highlight w:val="none"/>
        </w:rPr>
        <w:t>农业农村现代化规划》，推动新发展阶段全市“三农”工作再上新台阶，推动农业大市向农业强市跨越，与全国、全省同步基本实现农业农村现代化，特编制本规划。</w:t>
      </w:r>
    </w:p>
    <w:p>
      <w:pPr>
        <w:ind w:firstLine="640"/>
        <w:rPr>
          <w:szCs w:val="32"/>
          <w:highlight w:val="none"/>
        </w:rPr>
      </w:pPr>
      <w:r>
        <w:rPr>
          <w:szCs w:val="32"/>
          <w:highlight w:val="none"/>
        </w:rPr>
        <w:t>本规划立足新发展阶段、贯彻新发展理念、融入新发展格局，提出了“十四五”时期“三农”工作的发展目标、主要任务和具体措施，是“十四五”时期达州推进农业农村现代化的指导性文件。</w:t>
      </w:r>
    </w:p>
    <w:p>
      <w:pPr>
        <w:ind w:firstLine="640"/>
        <w:rPr>
          <w:szCs w:val="32"/>
          <w:highlight w:val="none"/>
        </w:rPr>
        <w:sectPr>
          <w:pgSz w:w="11906" w:h="16838"/>
          <w:pgMar w:top="2098" w:right="1474" w:bottom="1984" w:left="1587" w:header="851" w:footer="850" w:gutter="0"/>
          <w:pgNumType w:fmt="numberInDash" w:start="1"/>
          <w:cols w:space="0" w:num="1"/>
          <w:docGrid w:type="lines" w:linePitch="435" w:charSpace="0"/>
        </w:sectPr>
      </w:pPr>
    </w:p>
    <w:p>
      <w:pPr>
        <w:pStyle w:val="3"/>
        <w:rPr>
          <w:rFonts w:eastAsia="黑体"/>
          <w:b/>
          <w:highlight w:val="none"/>
        </w:rPr>
      </w:pPr>
      <w:bookmarkStart w:id="4" w:name="_Toc73979837"/>
      <w:r>
        <w:rPr>
          <w:highlight w:val="none"/>
        </w:rPr>
        <w:t>第一篇  开启全面推进农业农村现代化新征程</w:t>
      </w:r>
      <w:bookmarkEnd w:id="0"/>
      <w:bookmarkEnd w:id="1"/>
      <w:bookmarkEnd w:id="2"/>
      <w:bookmarkEnd w:id="4"/>
    </w:p>
    <w:p>
      <w:pPr>
        <w:ind w:firstLine="624"/>
        <w:rPr>
          <w:spacing w:val="-4"/>
          <w:szCs w:val="32"/>
          <w:highlight w:val="none"/>
        </w:rPr>
      </w:pPr>
      <w:bookmarkStart w:id="5" w:name="_Toc61422542"/>
      <w:bookmarkStart w:id="6" w:name="_Toc59612805"/>
      <w:r>
        <w:rPr>
          <w:spacing w:val="-4"/>
          <w:szCs w:val="32"/>
          <w:highlight w:val="none"/>
        </w:rPr>
        <w:t>站在“三农”工作新历史方位开启全面推进农业农村现代化新征程，要坚持用大历史观看待农业、农村、农民问题，紧紧围绕把握新发展阶段、贯彻新发展理念、融入新发展格局、促进高质量发展，坚持农业农村优先发展，全面推进乡村振兴，加快农业农村现代化，促进农业高质高效、乡村宜居宜业、农民富裕富足。</w:t>
      </w:r>
    </w:p>
    <w:p>
      <w:pPr>
        <w:ind w:firstLine="0" w:firstLineChars="0"/>
        <w:jc w:val="center"/>
        <w:outlineLvl w:val="1"/>
        <w:rPr>
          <w:rFonts w:eastAsia="方正黑体_GBK"/>
          <w:bCs/>
          <w:szCs w:val="32"/>
          <w:highlight w:val="none"/>
        </w:rPr>
      </w:pPr>
      <w:bookmarkStart w:id="7" w:name="_Toc72746606"/>
      <w:bookmarkStart w:id="8" w:name="_Toc73979838"/>
      <w:r>
        <w:rPr>
          <w:rFonts w:eastAsia="方正黑体_GBK"/>
          <w:bCs/>
          <w:szCs w:val="32"/>
          <w:highlight w:val="none"/>
        </w:rPr>
        <w:t xml:space="preserve">第一章  </w:t>
      </w:r>
      <w:bookmarkEnd w:id="5"/>
      <w:bookmarkEnd w:id="6"/>
      <w:bookmarkEnd w:id="7"/>
      <w:r>
        <w:rPr>
          <w:rFonts w:eastAsia="方正黑体_GBK"/>
          <w:bCs/>
          <w:szCs w:val="32"/>
          <w:highlight w:val="none"/>
        </w:rPr>
        <w:t>发展基础</w:t>
      </w:r>
      <w:bookmarkEnd w:id="8"/>
    </w:p>
    <w:p>
      <w:pPr>
        <w:ind w:firstLine="640"/>
        <w:rPr>
          <w:highlight w:val="none"/>
        </w:rPr>
      </w:pPr>
      <w:bookmarkStart w:id="9" w:name="_Hlk67147739"/>
      <w:r>
        <w:rPr>
          <w:highlight w:val="none"/>
        </w:rPr>
        <w:t>“十三五”时期，达州市委、市政府聚焦“三农”领域补短板、强弱项、增效益，脱贫攻坚目标如期完成，农业基础地位进一步巩固，农村面貌得到极大改善，人民群众幸福感获得感不断攀升，全市农业农村经济稳步发展，乡村振兴开局良好。“十三五”末，全市第一产业增加值达393.6亿元，较“十二五”末290.82亿元增长35.34%，农村居民人均可支配收入达16876元，较“十二五”末10688元增长57.90%。</w:t>
      </w:r>
      <w:bookmarkEnd w:id="9"/>
      <w:bookmarkStart w:id="10" w:name="_Toc61422543"/>
      <w:bookmarkStart w:id="11" w:name="_Toc59612806"/>
      <w:bookmarkStart w:id="12" w:name="_Toc72746607"/>
    </w:p>
    <w:p>
      <w:pPr>
        <w:ind w:firstLine="640"/>
        <w:rPr>
          <w:highlight w:val="none"/>
        </w:rPr>
      </w:pPr>
      <w:r>
        <w:rPr>
          <w:rFonts w:eastAsia="方正楷体_GBK"/>
          <w:bCs/>
          <w:szCs w:val="32"/>
          <w:highlight w:val="none"/>
        </w:rPr>
        <w:t>一是农业综合生产能力显著增强</w:t>
      </w:r>
      <w:bookmarkEnd w:id="10"/>
      <w:bookmarkEnd w:id="11"/>
      <w:bookmarkEnd w:id="12"/>
      <w:r>
        <w:rPr>
          <w:rFonts w:eastAsia="方正楷体_GBK"/>
          <w:bCs/>
          <w:szCs w:val="32"/>
          <w:highlight w:val="none"/>
        </w:rPr>
        <w:t>。</w:t>
      </w:r>
      <w:r>
        <w:rPr>
          <w:highlight w:val="none"/>
        </w:rPr>
        <w:t>粮食生产能力巩固提升</w:t>
      </w:r>
      <w:r>
        <w:rPr>
          <w:rFonts w:hint="eastAsia"/>
          <w:highlight w:val="none"/>
        </w:rPr>
        <w:t>，</w:t>
      </w:r>
      <w:r>
        <w:rPr>
          <w:highlight w:val="none"/>
        </w:rPr>
        <w:t>全</w:t>
      </w:r>
      <w:bookmarkStart w:id="13" w:name="_Hlk64970650"/>
      <w:r>
        <w:rPr>
          <w:highlight w:val="none"/>
        </w:rPr>
        <w:t>市</w:t>
      </w:r>
      <w:bookmarkEnd w:id="13"/>
      <w:r>
        <w:rPr>
          <w:highlight w:val="none"/>
        </w:rPr>
        <w:t>粮食总产319.4万吨、油菜籽总产31.48万吨，分别较“十二五”末增长2.8%、15.3%；粮食总产量居全省第一，油料产量居全省第三，连续6年捧得省政府 “丰收杯”</w:t>
      </w:r>
      <w:bookmarkStart w:id="14" w:name="_Hlk73541183"/>
      <w:r>
        <w:rPr>
          <w:highlight w:val="none"/>
        </w:rPr>
        <w:t>。累计建成高标准农田351</w:t>
      </w:r>
      <w:bookmarkEnd w:id="14"/>
      <w:r>
        <w:rPr>
          <w:highlight w:val="none"/>
        </w:rPr>
        <w:t>万亩。特色产业势头强劲</w:t>
      </w:r>
      <w:r>
        <w:rPr>
          <w:rFonts w:hint="eastAsia"/>
          <w:highlight w:val="none"/>
        </w:rPr>
        <w:t>，</w:t>
      </w:r>
      <w:r>
        <w:rPr>
          <w:highlight w:val="none"/>
        </w:rPr>
        <w:t>全市现代特色产业基地达</w:t>
      </w:r>
      <w:r>
        <w:rPr>
          <w:rFonts w:eastAsia="方正楷体_GBK"/>
          <w:kern w:val="0"/>
          <w:sz w:val="28"/>
          <w:szCs w:val="28"/>
          <w:highlight w:val="none"/>
        </w:rPr>
        <w:t>**</w:t>
      </w:r>
      <w:r>
        <w:rPr>
          <w:highlight w:val="none"/>
        </w:rPr>
        <w:t>万亩，创国家农业产业强镇4个，创中国特色农产品优势区1个、省级6个。畜牧渔业转型升级</w:t>
      </w:r>
      <w:r>
        <w:rPr>
          <w:rFonts w:hint="eastAsia"/>
          <w:highlight w:val="none"/>
        </w:rPr>
        <w:t>，</w:t>
      </w:r>
      <w:r>
        <w:rPr>
          <w:highlight w:val="none"/>
        </w:rPr>
        <w:t>全市生猪年出栏达</w:t>
      </w:r>
      <w:r>
        <w:rPr>
          <w:rFonts w:eastAsia="方正楷体_GBK"/>
          <w:kern w:val="0"/>
          <w:sz w:val="28"/>
          <w:szCs w:val="28"/>
          <w:highlight w:val="none"/>
        </w:rPr>
        <w:t>**</w:t>
      </w:r>
      <w:r>
        <w:rPr>
          <w:highlight w:val="none"/>
        </w:rPr>
        <w:t>万头，主要畜禽肉产量43.66万吨，水产品总产量10.47万吨</w:t>
      </w:r>
      <w:r>
        <w:rPr>
          <w:rFonts w:hint="eastAsia"/>
          <w:highlight w:val="none"/>
        </w:rPr>
        <w:t>；</w:t>
      </w:r>
      <w:r>
        <w:rPr>
          <w:highlight w:val="none"/>
        </w:rPr>
        <w:t>创省部级畜禽标准化示范场13个、国家水产健康养殖示范场6个。林业产业蓬勃发展</w:t>
      </w:r>
      <w:r>
        <w:rPr>
          <w:rFonts w:hint="eastAsia"/>
          <w:highlight w:val="none"/>
        </w:rPr>
        <w:t>，</w:t>
      </w:r>
      <w:r>
        <w:rPr>
          <w:highlight w:val="none"/>
        </w:rPr>
        <w:t>全市建成现代林业产业基地211.9万亩，培育林业产业化龙头企业国家级3家、省级13家。产业扶贫结出硕果</w:t>
      </w:r>
      <w:r>
        <w:rPr>
          <w:rFonts w:hint="eastAsia"/>
          <w:highlight w:val="none"/>
        </w:rPr>
        <w:t>，</w:t>
      </w:r>
      <w:r>
        <w:rPr>
          <w:highlight w:val="none"/>
        </w:rPr>
        <w:t>全市选派农技人员2398人到828个贫困村开展帮扶</w:t>
      </w:r>
      <w:r>
        <w:rPr>
          <w:rFonts w:hint="eastAsia"/>
          <w:highlight w:val="none"/>
        </w:rPr>
        <w:t>，</w:t>
      </w:r>
      <w:r>
        <w:rPr>
          <w:highlight w:val="none"/>
        </w:rPr>
        <w:t>实施农业产业扶贫项目263个，依靠农业产业脱贫人数达到26.99万人，占脱贫总人口的37.7%。</w:t>
      </w:r>
    </w:p>
    <w:p>
      <w:pPr>
        <w:ind w:firstLine="640"/>
        <w:rPr>
          <w:highlight w:val="none"/>
        </w:rPr>
      </w:pPr>
      <w:bookmarkStart w:id="15" w:name="_Toc61422544"/>
      <w:bookmarkStart w:id="16" w:name="_Toc59612807"/>
      <w:bookmarkStart w:id="17" w:name="_Toc72746608"/>
      <w:r>
        <w:rPr>
          <w:rFonts w:eastAsia="方正楷体_GBK"/>
          <w:bCs/>
          <w:szCs w:val="32"/>
          <w:highlight w:val="none"/>
        </w:rPr>
        <w:t>二是物质技术装备水平</w:t>
      </w:r>
      <w:bookmarkEnd w:id="15"/>
      <w:bookmarkEnd w:id="16"/>
      <w:r>
        <w:rPr>
          <w:rFonts w:eastAsia="方正楷体_GBK"/>
          <w:bCs/>
          <w:szCs w:val="32"/>
          <w:highlight w:val="none"/>
        </w:rPr>
        <w:t>大幅提升</w:t>
      </w:r>
      <w:bookmarkEnd w:id="17"/>
      <w:r>
        <w:rPr>
          <w:rFonts w:eastAsia="方正楷体_GBK"/>
          <w:bCs/>
          <w:szCs w:val="32"/>
          <w:highlight w:val="none"/>
        </w:rPr>
        <w:t>。</w:t>
      </w:r>
      <w:r>
        <w:rPr>
          <w:highlight w:val="none"/>
        </w:rPr>
        <w:t>现代种业选育水平逐年提高</w:t>
      </w:r>
      <w:r>
        <w:rPr>
          <w:rFonts w:hint="eastAsia"/>
          <w:highlight w:val="none"/>
        </w:rPr>
        <w:t>，</w:t>
      </w:r>
      <w:r>
        <w:rPr>
          <w:highlight w:val="none"/>
        </w:rPr>
        <w:t>建立全国首家市级农作物种子检测区域分中心，建成省级畜禽资源保护区3个、畜禽核心育种场2个。农业机械化水平全面提升</w:t>
      </w:r>
      <w:r>
        <w:rPr>
          <w:rFonts w:hint="eastAsia"/>
          <w:highlight w:val="none"/>
        </w:rPr>
        <w:t>，</w:t>
      </w:r>
      <w:r>
        <w:rPr>
          <w:highlight w:val="none"/>
        </w:rPr>
        <w:t>全市农机总动力达到284.27万千瓦，耕地有效灌溉面积达296.82万亩，主要农作物耕种收综合机械化率达60.72%。冷链物流能力不断增强</w:t>
      </w:r>
      <w:r>
        <w:rPr>
          <w:rFonts w:hint="eastAsia"/>
          <w:highlight w:val="none"/>
        </w:rPr>
        <w:t>，</w:t>
      </w:r>
      <w:r>
        <w:rPr>
          <w:highlight w:val="none"/>
        </w:rPr>
        <w:t>全市农产品冷链物流设施静态库容量达13.1万吨</w:t>
      </w:r>
      <w:r>
        <w:rPr>
          <w:rFonts w:hint="eastAsia"/>
          <w:highlight w:val="none"/>
        </w:rPr>
        <w:t>；</w:t>
      </w:r>
      <w:r>
        <w:rPr>
          <w:highlight w:val="none"/>
        </w:rPr>
        <w:t>建成覆盖县、乡、村三级的电商物流配送体系，创建5个国家级和3个省级电商进农村综合示范县，建成2227个村级益农信息社。农业科技支撑能力</w:t>
      </w:r>
      <w:r>
        <w:rPr>
          <w:rFonts w:hint="eastAsia"/>
          <w:highlight w:val="none"/>
        </w:rPr>
        <w:t>加快提升，</w:t>
      </w:r>
      <w:r>
        <w:rPr>
          <w:highlight w:val="none"/>
        </w:rPr>
        <w:t>农业物联网等信息技术应用比例达35%</w:t>
      </w:r>
      <w:r>
        <w:rPr>
          <w:rFonts w:hint="eastAsia"/>
          <w:highlight w:val="none"/>
        </w:rPr>
        <w:t>；</w:t>
      </w:r>
      <w:r>
        <w:rPr>
          <w:highlight w:val="none"/>
        </w:rPr>
        <w:t>全市农村实用人才达13.5万余人，累计培育新型职业农民1.5万余人</w:t>
      </w:r>
      <w:r>
        <w:rPr>
          <w:rFonts w:hint="eastAsia"/>
          <w:highlight w:val="none"/>
        </w:rPr>
        <w:t>；</w:t>
      </w:r>
      <w:r>
        <w:rPr>
          <w:highlight w:val="none"/>
        </w:rPr>
        <w:t>农业科技贡献率达</w:t>
      </w:r>
      <w:r>
        <w:rPr>
          <w:rFonts w:eastAsia="方正楷体_GBK"/>
          <w:kern w:val="0"/>
          <w:sz w:val="28"/>
          <w:szCs w:val="28"/>
          <w:highlight w:val="none"/>
        </w:rPr>
        <w:t>**</w:t>
      </w:r>
      <w:r>
        <w:rPr>
          <w:highlight w:val="none"/>
        </w:rPr>
        <w:t>%</w:t>
      </w:r>
      <w:r>
        <w:rPr>
          <w:rFonts w:hint="eastAsia"/>
          <w:highlight w:val="none"/>
        </w:rPr>
        <w:t>；</w:t>
      </w:r>
      <w:r>
        <w:rPr>
          <w:highlight w:val="none"/>
        </w:rPr>
        <w:t>荣获省科技进步一等奖2项、二等奖10项、三等奖19项</w:t>
      </w:r>
      <w:r>
        <w:rPr>
          <w:rFonts w:hint="eastAsia"/>
          <w:highlight w:val="none"/>
        </w:rPr>
        <w:t>；</w:t>
      </w:r>
      <w:r>
        <w:rPr>
          <w:highlight w:val="none"/>
        </w:rPr>
        <w:t>农作物良种覆盖率达97%以上。</w:t>
      </w:r>
    </w:p>
    <w:p>
      <w:pPr>
        <w:ind w:firstLine="632"/>
        <w:rPr>
          <w:spacing w:val="-2"/>
          <w:highlight w:val="none"/>
        </w:rPr>
      </w:pPr>
      <w:bookmarkStart w:id="18" w:name="_Toc59612808"/>
      <w:bookmarkStart w:id="19" w:name="_Toc61422545"/>
      <w:bookmarkStart w:id="20" w:name="_Toc72746609"/>
      <w:r>
        <w:rPr>
          <w:rFonts w:eastAsia="方正楷体_GBK"/>
          <w:bCs/>
          <w:spacing w:val="-2"/>
          <w:szCs w:val="32"/>
          <w:highlight w:val="none"/>
        </w:rPr>
        <w:t>三是农村一二三产融合</w:t>
      </w:r>
      <w:bookmarkEnd w:id="18"/>
      <w:bookmarkEnd w:id="19"/>
      <w:bookmarkEnd w:id="20"/>
      <w:r>
        <w:rPr>
          <w:rFonts w:eastAsia="方正楷体_GBK"/>
          <w:bCs/>
          <w:spacing w:val="-2"/>
          <w:szCs w:val="32"/>
          <w:highlight w:val="none"/>
        </w:rPr>
        <w:t>亮点纷呈。</w:t>
      </w:r>
      <w:r>
        <w:rPr>
          <w:spacing w:val="-2"/>
          <w:highlight w:val="none"/>
        </w:rPr>
        <w:t>现代农业园区建设成效显著</w:t>
      </w:r>
      <w:r>
        <w:rPr>
          <w:rFonts w:hint="eastAsia"/>
          <w:spacing w:val="-2"/>
          <w:highlight w:val="none"/>
        </w:rPr>
        <w:t>，</w:t>
      </w:r>
      <w:r>
        <w:rPr>
          <w:spacing w:val="-2"/>
          <w:highlight w:val="none"/>
        </w:rPr>
        <w:t>全市命名省星级现代农业园区5个、市级园区19个、县级园区56个，初步构建起现代农业园区梯次推进体系。农产品加工实现突破性发展</w:t>
      </w:r>
      <w:r>
        <w:rPr>
          <w:rFonts w:hint="eastAsia"/>
          <w:spacing w:val="-2"/>
          <w:highlight w:val="none"/>
        </w:rPr>
        <w:t>，</w:t>
      </w:r>
      <w:r>
        <w:rPr>
          <w:spacing w:val="-2"/>
          <w:highlight w:val="none"/>
        </w:rPr>
        <w:t>建成农产品加工集中区4个、农产品加工园区6个，成功引进“三类500强”知名企业7家，培育农业产业化联合体5个，实现规上农产品加工企业产值</w:t>
      </w:r>
      <w:r>
        <w:rPr>
          <w:rFonts w:eastAsia="方正楷体_GBK"/>
          <w:kern w:val="0"/>
          <w:sz w:val="28"/>
          <w:szCs w:val="28"/>
          <w:highlight w:val="none"/>
        </w:rPr>
        <w:t>**</w:t>
      </w:r>
      <w:r>
        <w:rPr>
          <w:spacing w:val="-2"/>
          <w:highlight w:val="none"/>
        </w:rPr>
        <w:t>亿元。农产品质量安全持续向好</w:t>
      </w:r>
      <w:r>
        <w:rPr>
          <w:rFonts w:hint="eastAsia"/>
          <w:spacing w:val="-2"/>
          <w:highlight w:val="none"/>
        </w:rPr>
        <w:t>，</w:t>
      </w:r>
      <w:r>
        <w:rPr>
          <w:spacing w:val="-2"/>
          <w:highlight w:val="none"/>
        </w:rPr>
        <w:t>3个县（市、区）被命名为“国家农产品质量安全县”，达州市及4个县（市、区）保持“省级农产品质量安全监管示范市（县）”称号，全市农产品质量安全例行监测合格率达</w:t>
      </w:r>
      <w:r>
        <w:rPr>
          <w:rFonts w:eastAsia="方正楷体_GBK"/>
          <w:kern w:val="0"/>
          <w:sz w:val="28"/>
          <w:szCs w:val="28"/>
          <w:highlight w:val="none"/>
        </w:rPr>
        <w:t>**</w:t>
      </w:r>
      <w:r>
        <w:rPr>
          <w:rFonts w:hint="eastAsia" w:eastAsia="方正楷体_GBK"/>
          <w:kern w:val="0"/>
          <w:sz w:val="28"/>
          <w:szCs w:val="28"/>
          <w:highlight w:val="none"/>
          <w:lang w:val="en-US" w:eastAsia="zh-CN"/>
        </w:rPr>
        <w:t>%</w:t>
      </w:r>
      <w:r>
        <w:rPr>
          <w:spacing w:val="-2"/>
          <w:highlight w:val="none"/>
        </w:rPr>
        <w:t>。农业品牌建设成效突显</w:t>
      </w:r>
      <w:r>
        <w:rPr>
          <w:rFonts w:hint="eastAsia"/>
          <w:spacing w:val="-2"/>
          <w:highlight w:val="none"/>
        </w:rPr>
        <w:t>，</w:t>
      </w:r>
      <w:r>
        <w:rPr>
          <w:spacing w:val="-2"/>
          <w:highlight w:val="none"/>
        </w:rPr>
        <w:t>“巴山食荟”农产品区域公用品牌成功注册，培育中国驰名商标4个，全国生态原产地保护产品21个，四川省优质农产品品牌10个，“三品一标”农产品</w:t>
      </w:r>
      <w:r>
        <w:rPr>
          <w:rFonts w:eastAsia="方正楷体_GBK"/>
          <w:kern w:val="0"/>
          <w:sz w:val="28"/>
          <w:szCs w:val="28"/>
          <w:highlight w:val="none"/>
        </w:rPr>
        <w:t>**</w:t>
      </w:r>
      <w:r>
        <w:rPr>
          <w:spacing w:val="-2"/>
          <w:highlight w:val="none"/>
        </w:rPr>
        <w:t>个。农旅融合发展深入推进</w:t>
      </w:r>
      <w:r>
        <w:rPr>
          <w:rFonts w:hint="eastAsia"/>
          <w:spacing w:val="-2"/>
          <w:highlight w:val="none"/>
        </w:rPr>
        <w:t>，</w:t>
      </w:r>
      <w:r>
        <w:rPr>
          <w:spacing w:val="-2"/>
          <w:highlight w:val="none"/>
        </w:rPr>
        <w:t>建成中国美丽休闲乡村3个、省级休闲农业主题公园7个、省级示范休闲农庄15个</w:t>
      </w:r>
      <w:r>
        <w:rPr>
          <w:rFonts w:hint="eastAsia"/>
          <w:spacing w:val="-2"/>
          <w:highlight w:val="none"/>
        </w:rPr>
        <w:t>；</w:t>
      </w:r>
      <w:r>
        <w:rPr>
          <w:spacing w:val="-2"/>
          <w:highlight w:val="none"/>
        </w:rPr>
        <w:t>入选全国乡村旅游重点村1个、省级4个，入选“四川最美古镇古村落”7个。</w:t>
      </w:r>
      <w:bookmarkStart w:id="21" w:name="_Toc61422547"/>
      <w:bookmarkStart w:id="22" w:name="_Toc59612810"/>
      <w:bookmarkStart w:id="23" w:name="_Toc72746611"/>
    </w:p>
    <w:p>
      <w:pPr>
        <w:ind w:firstLine="640"/>
        <w:rPr>
          <w:highlight w:val="none"/>
        </w:rPr>
      </w:pPr>
      <w:r>
        <w:rPr>
          <w:rFonts w:eastAsia="方正楷体_GBK"/>
          <w:bCs/>
          <w:szCs w:val="32"/>
          <w:highlight w:val="none"/>
        </w:rPr>
        <w:t>四是农业农村改革全面深化</w:t>
      </w:r>
      <w:bookmarkEnd w:id="21"/>
      <w:bookmarkEnd w:id="22"/>
      <w:bookmarkEnd w:id="23"/>
      <w:r>
        <w:rPr>
          <w:rFonts w:eastAsia="方正楷体_GBK"/>
          <w:bCs/>
          <w:szCs w:val="32"/>
          <w:highlight w:val="none"/>
        </w:rPr>
        <w:t>。</w:t>
      </w:r>
      <w:r>
        <w:rPr>
          <w:highlight w:val="none"/>
        </w:rPr>
        <w:t>承包地“三权分置”制度全面落实</w:t>
      </w:r>
      <w:r>
        <w:rPr>
          <w:rFonts w:hint="eastAsia"/>
          <w:highlight w:val="none"/>
        </w:rPr>
        <w:t>，</w:t>
      </w:r>
      <w:r>
        <w:rPr>
          <w:highlight w:val="none"/>
        </w:rPr>
        <w:t>颁发土地承包经营权证</w:t>
      </w:r>
      <w:r>
        <w:rPr>
          <w:rFonts w:eastAsia="方正楷体_GBK"/>
          <w:kern w:val="0"/>
          <w:sz w:val="28"/>
          <w:szCs w:val="28"/>
          <w:highlight w:val="none"/>
        </w:rPr>
        <w:t>**</w:t>
      </w:r>
      <w:r>
        <w:rPr>
          <w:highlight w:val="none"/>
        </w:rPr>
        <w:t>万本，颁证率达</w:t>
      </w:r>
      <w:r>
        <w:rPr>
          <w:rFonts w:eastAsia="方正楷体_GBK"/>
          <w:kern w:val="0"/>
          <w:sz w:val="28"/>
          <w:szCs w:val="28"/>
          <w:highlight w:val="none"/>
        </w:rPr>
        <w:t>**</w:t>
      </w:r>
      <w:r>
        <w:rPr>
          <w:highlight w:val="none"/>
        </w:rPr>
        <w:t>%，累计流转土地</w:t>
      </w:r>
      <w:r>
        <w:rPr>
          <w:rFonts w:eastAsia="方正楷体_GBK"/>
          <w:kern w:val="0"/>
          <w:sz w:val="28"/>
          <w:szCs w:val="28"/>
          <w:highlight w:val="none"/>
        </w:rPr>
        <w:t>**</w:t>
      </w:r>
      <w:r>
        <w:rPr>
          <w:highlight w:val="none"/>
        </w:rPr>
        <w:t>万亩、托管土地</w:t>
      </w:r>
      <w:r>
        <w:rPr>
          <w:rFonts w:eastAsia="方正楷体_GBK"/>
          <w:kern w:val="0"/>
          <w:sz w:val="28"/>
          <w:szCs w:val="28"/>
          <w:highlight w:val="none"/>
        </w:rPr>
        <w:t>**</w:t>
      </w:r>
      <w:r>
        <w:rPr>
          <w:highlight w:val="none"/>
        </w:rPr>
        <w:t>万亩。新型经营主体不断壮大</w:t>
      </w:r>
      <w:r>
        <w:rPr>
          <w:rFonts w:hint="eastAsia"/>
          <w:highlight w:val="none"/>
        </w:rPr>
        <w:t>，</w:t>
      </w:r>
      <w:r>
        <w:rPr>
          <w:highlight w:val="none"/>
        </w:rPr>
        <w:t>全市累计培育国家级龙头企业3家、省级龙头企业38家、市级龙头企业162家、农民专合社</w:t>
      </w:r>
      <w:r>
        <w:rPr>
          <w:rFonts w:eastAsia="方正楷体_GBK"/>
          <w:kern w:val="0"/>
          <w:sz w:val="28"/>
          <w:szCs w:val="28"/>
          <w:highlight w:val="none"/>
        </w:rPr>
        <w:t>**</w:t>
      </w:r>
      <w:r>
        <w:rPr>
          <w:highlight w:val="none"/>
        </w:rPr>
        <w:t>家、家庭农场</w:t>
      </w:r>
      <w:r>
        <w:rPr>
          <w:rFonts w:eastAsia="方正楷体_GBK"/>
          <w:kern w:val="0"/>
          <w:sz w:val="28"/>
          <w:szCs w:val="28"/>
          <w:highlight w:val="none"/>
        </w:rPr>
        <w:t>**</w:t>
      </w:r>
      <w:r>
        <w:rPr>
          <w:highlight w:val="none"/>
        </w:rPr>
        <w:t>家，发展农业经营性服务组织</w:t>
      </w:r>
      <w:r>
        <w:rPr>
          <w:rFonts w:eastAsia="方正楷体_GBK"/>
          <w:kern w:val="0"/>
          <w:sz w:val="28"/>
          <w:szCs w:val="28"/>
          <w:highlight w:val="none"/>
        </w:rPr>
        <w:t>**</w:t>
      </w:r>
      <w:r>
        <w:rPr>
          <w:highlight w:val="none"/>
        </w:rPr>
        <w:t>个。农村集体产权制度改革深入推进</w:t>
      </w:r>
      <w:r>
        <w:rPr>
          <w:rFonts w:hint="eastAsia"/>
          <w:highlight w:val="none"/>
        </w:rPr>
        <w:t>，</w:t>
      </w:r>
      <w:r>
        <w:rPr>
          <w:highlight w:val="none"/>
        </w:rPr>
        <w:t>完成</w:t>
      </w:r>
      <w:r>
        <w:rPr>
          <w:rFonts w:eastAsia="方正楷体_GBK"/>
          <w:kern w:val="0"/>
          <w:sz w:val="28"/>
          <w:szCs w:val="28"/>
          <w:highlight w:val="none"/>
        </w:rPr>
        <w:t>**</w:t>
      </w:r>
      <w:r>
        <w:rPr>
          <w:highlight w:val="none"/>
        </w:rPr>
        <w:t>个村（社区）集体资产清产核资，全面启动集体经济组织登记赋码、成员资格界定工作</w:t>
      </w:r>
      <w:r>
        <w:rPr>
          <w:rFonts w:hint="eastAsia"/>
          <w:highlight w:val="none"/>
        </w:rPr>
        <w:t>；</w:t>
      </w:r>
      <w:r>
        <w:rPr>
          <w:highlight w:val="none"/>
        </w:rPr>
        <w:t>通川区成功纳入全国第四批农村集体产权制度改革试点县</w:t>
      </w:r>
      <w:r>
        <w:rPr>
          <w:rFonts w:hint="eastAsia"/>
          <w:highlight w:val="none"/>
        </w:rPr>
        <w:t>；</w:t>
      </w:r>
      <w:r>
        <w:rPr>
          <w:highlight w:val="none"/>
        </w:rPr>
        <w:t>建成市本级、达川区、宣汉县、大竹县集体林权流转交易平台。农业用水和林场改革稳步推进</w:t>
      </w:r>
      <w:r>
        <w:rPr>
          <w:rFonts w:hint="eastAsia"/>
          <w:highlight w:val="none"/>
        </w:rPr>
        <w:t>，</w:t>
      </w:r>
      <w:r>
        <w:rPr>
          <w:highlight w:val="none"/>
        </w:rPr>
        <w:t>完成农业水价综合改革面积</w:t>
      </w:r>
      <w:r>
        <w:rPr>
          <w:rFonts w:eastAsia="方正楷体_GBK"/>
          <w:kern w:val="0"/>
          <w:sz w:val="28"/>
          <w:szCs w:val="28"/>
          <w:highlight w:val="none"/>
        </w:rPr>
        <w:t>**</w:t>
      </w:r>
      <w:r>
        <w:rPr>
          <w:highlight w:val="none"/>
        </w:rPr>
        <w:t>万亩</w:t>
      </w:r>
      <w:r>
        <w:rPr>
          <w:rFonts w:hint="eastAsia"/>
          <w:highlight w:val="none"/>
        </w:rPr>
        <w:t>；</w:t>
      </w:r>
      <w:r>
        <w:rPr>
          <w:highlight w:val="none"/>
        </w:rPr>
        <w:t>完成国有林场改革，公益林保护与生态修复扎实推进。</w:t>
      </w:r>
    </w:p>
    <w:p>
      <w:pPr>
        <w:ind w:firstLine="640"/>
        <w:rPr>
          <w:highlight w:val="none"/>
        </w:rPr>
      </w:pPr>
      <w:bookmarkStart w:id="24" w:name="_Toc61422548"/>
      <w:bookmarkStart w:id="25" w:name="_Toc59612811"/>
      <w:bookmarkStart w:id="26" w:name="_Toc72746612"/>
      <w:r>
        <w:rPr>
          <w:rFonts w:eastAsia="方正楷体_GBK"/>
          <w:bCs/>
          <w:szCs w:val="32"/>
          <w:highlight w:val="none"/>
        </w:rPr>
        <w:t>五是基层治理现代化</w:t>
      </w:r>
      <w:bookmarkEnd w:id="24"/>
      <w:bookmarkEnd w:id="25"/>
      <w:r>
        <w:rPr>
          <w:rFonts w:eastAsia="方正楷体_GBK"/>
          <w:bCs/>
          <w:szCs w:val="32"/>
          <w:highlight w:val="none"/>
        </w:rPr>
        <w:t>稳步推进</w:t>
      </w:r>
      <w:bookmarkEnd w:id="26"/>
      <w:r>
        <w:rPr>
          <w:rFonts w:eastAsia="方正楷体_GBK"/>
          <w:bCs/>
          <w:szCs w:val="32"/>
          <w:highlight w:val="none"/>
        </w:rPr>
        <w:t>。</w:t>
      </w:r>
      <w:r>
        <w:rPr>
          <w:highlight w:val="none"/>
        </w:rPr>
        <w:t>基层党建基础持续夯实</w:t>
      </w:r>
      <w:r>
        <w:rPr>
          <w:rFonts w:hint="eastAsia"/>
          <w:highlight w:val="none"/>
        </w:rPr>
        <w:t>，</w:t>
      </w:r>
      <w:r>
        <w:rPr>
          <w:highlight w:val="none"/>
        </w:rPr>
        <w:t>全面推行“党支部标准工作法”、基层党组织“三分类三升级活动”，推行村党组织书记、村委会主任“一肩挑”，持续实施优秀农民工回引培养工程，新选拔</w:t>
      </w:r>
      <w:r>
        <w:rPr>
          <w:rFonts w:eastAsia="方正楷体_GBK"/>
          <w:kern w:val="0"/>
          <w:sz w:val="28"/>
          <w:szCs w:val="28"/>
          <w:highlight w:val="none"/>
        </w:rPr>
        <w:t>**</w:t>
      </w:r>
      <w:r>
        <w:rPr>
          <w:highlight w:val="none"/>
        </w:rPr>
        <w:t>名优秀农民工、</w:t>
      </w:r>
      <w:r>
        <w:rPr>
          <w:rFonts w:eastAsia="方正楷体_GBK"/>
          <w:kern w:val="0"/>
          <w:sz w:val="28"/>
          <w:szCs w:val="28"/>
          <w:highlight w:val="none"/>
        </w:rPr>
        <w:t>**</w:t>
      </w:r>
      <w:r>
        <w:rPr>
          <w:highlight w:val="none"/>
        </w:rPr>
        <w:t>名退役军人、</w:t>
      </w:r>
      <w:r>
        <w:rPr>
          <w:rFonts w:eastAsia="方正楷体_GBK"/>
          <w:kern w:val="0"/>
          <w:sz w:val="28"/>
          <w:szCs w:val="28"/>
          <w:highlight w:val="none"/>
        </w:rPr>
        <w:t>**</w:t>
      </w:r>
      <w:r>
        <w:rPr>
          <w:highlight w:val="none"/>
        </w:rPr>
        <w:t>名返乡毕业大学生进入“两委”班子</w:t>
      </w:r>
      <w:r>
        <w:rPr>
          <w:rFonts w:hint="eastAsia"/>
          <w:highlight w:val="none"/>
        </w:rPr>
        <w:t>；</w:t>
      </w:r>
      <w:r>
        <w:rPr>
          <w:highlight w:val="none"/>
        </w:rPr>
        <w:t>深入推进“三千计划”，培训新任乡村干部</w:t>
      </w:r>
      <w:r>
        <w:rPr>
          <w:rFonts w:eastAsia="方正楷体_GBK"/>
          <w:kern w:val="0"/>
          <w:sz w:val="28"/>
          <w:szCs w:val="28"/>
          <w:highlight w:val="none"/>
        </w:rPr>
        <w:t>**</w:t>
      </w:r>
      <w:r>
        <w:rPr>
          <w:highlight w:val="none"/>
        </w:rPr>
        <w:t>名，累计培养农民工村级后备力量</w:t>
      </w:r>
      <w:r>
        <w:rPr>
          <w:rFonts w:eastAsia="方正楷体_GBK"/>
          <w:kern w:val="0"/>
          <w:sz w:val="28"/>
          <w:szCs w:val="28"/>
          <w:highlight w:val="none"/>
        </w:rPr>
        <w:t>**</w:t>
      </w:r>
      <w:r>
        <w:rPr>
          <w:highlight w:val="none"/>
        </w:rPr>
        <w:t>名，引导</w:t>
      </w:r>
      <w:r>
        <w:rPr>
          <w:rFonts w:eastAsia="方正楷体_GBK"/>
          <w:kern w:val="0"/>
          <w:sz w:val="28"/>
          <w:szCs w:val="28"/>
          <w:highlight w:val="none"/>
        </w:rPr>
        <w:t>**</w:t>
      </w:r>
      <w:r>
        <w:rPr>
          <w:highlight w:val="none"/>
        </w:rPr>
        <w:t>名农业科技人才到基层一线开展服务。农业农村法治建设加快推进</w:t>
      </w:r>
      <w:r>
        <w:rPr>
          <w:rFonts w:hint="eastAsia"/>
          <w:highlight w:val="none"/>
        </w:rPr>
        <w:t>，</w:t>
      </w:r>
      <w:r>
        <w:rPr>
          <w:highlight w:val="none"/>
        </w:rPr>
        <w:t>全面推行乡镇（街道）和村（社区）法律顾问全覆盖，加快推进县、乡、村三级综治中心和“雪亮工程”建设，着力构建覆盖乡村的基本公共法律服务体系，全市累计创建全国民主法治示范村（社区）</w:t>
      </w:r>
      <w:r>
        <w:rPr>
          <w:rFonts w:eastAsia="方正楷体_GBK"/>
          <w:kern w:val="0"/>
          <w:sz w:val="28"/>
          <w:szCs w:val="28"/>
          <w:highlight w:val="none"/>
        </w:rPr>
        <w:t>**</w:t>
      </w:r>
      <w:r>
        <w:rPr>
          <w:highlight w:val="none"/>
        </w:rPr>
        <w:t>个，</w:t>
      </w:r>
      <w:r>
        <w:rPr>
          <w:highlight w:val="none"/>
        </w:rPr>
        <w:t>**个村（社区）开展网格化服务管理，**个村建成规范化综治中心</w:t>
      </w:r>
      <w:r>
        <w:rPr>
          <w:highlight w:val="none"/>
        </w:rPr>
        <w:t>，</w:t>
      </w:r>
      <w:r>
        <w:rPr>
          <w:highlight w:val="none"/>
        </w:rPr>
        <w:t>“雪亮工程”覆盖率超过**%</w:t>
      </w:r>
      <w:r>
        <w:rPr>
          <w:highlight w:val="none"/>
        </w:rPr>
        <w:t>。乡村文明水平不断提升</w:t>
      </w:r>
      <w:r>
        <w:rPr>
          <w:rFonts w:hint="eastAsia"/>
          <w:highlight w:val="none"/>
        </w:rPr>
        <w:t>，</w:t>
      </w:r>
      <w:r>
        <w:rPr>
          <w:highlight w:val="none"/>
        </w:rPr>
        <w:t>广泛开展“传家训、立家规、扬家风”“诚信•守法•感恩”等教育活动，创建全国文明村镇</w:t>
      </w:r>
      <w:r>
        <w:rPr>
          <w:rFonts w:eastAsia="方正楷体_GBK"/>
          <w:kern w:val="0"/>
          <w:sz w:val="28"/>
          <w:szCs w:val="28"/>
          <w:highlight w:val="none"/>
        </w:rPr>
        <w:t>**</w:t>
      </w:r>
      <w:r>
        <w:rPr>
          <w:highlight w:val="none"/>
        </w:rPr>
        <w:t>个、省级文明村镇</w:t>
      </w:r>
      <w:r>
        <w:rPr>
          <w:rFonts w:eastAsia="方正楷体_GBK"/>
          <w:kern w:val="0"/>
          <w:sz w:val="28"/>
          <w:szCs w:val="28"/>
          <w:highlight w:val="none"/>
        </w:rPr>
        <w:t>**</w:t>
      </w:r>
      <w:r>
        <w:rPr>
          <w:highlight w:val="none"/>
        </w:rPr>
        <w:t>个、市级文明村镇</w:t>
      </w:r>
      <w:r>
        <w:rPr>
          <w:rFonts w:eastAsia="方正楷体_GBK"/>
          <w:kern w:val="0"/>
          <w:sz w:val="28"/>
          <w:szCs w:val="28"/>
          <w:highlight w:val="none"/>
        </w:rPr>
        <w:t>**</w:t>
      </w:r>
      <w:r>
        <w:rPr>
          <w:highlight w:val="none"/>
        </w:rPr>
        <w:t>个，创建省市级“四好村”</w:t>
      </w:r>
      <w:r>
        <w:rPr>
          <w:rFonts w:eastAsia="方正楷体_GBK"/>
          <w:kern w:val="0"/>
          <w:sz w:val="28"/>
          <w:szCs w:val="28"/>
          <w:highlight w:val="none"/>
        </w:rPr>
        <w:t>**</w:t>
      </w:r>
      <w:r>
        <w:rPr>
          <w:highlight w:val="none"/>
        </w:rPr>
        <w:t>个。</w:t>
      </w:r>
    </w:p>
    <w:p>
      <w:pPr>
        <w:ind w:firstLine="640"/>
        <w:rPr>
          <w:highlight w:val="none"/>
        </w:rPr>
      </w:pPr>
      <w:bookmarkStart w:id="27" w:name="_Toc72746614"/>
      <w:bookmarkStart w:id="28" w:name="_Toc61422550"/>
      <w:bookmarkStart w:id="29" w:name="_Toc59612813"/>
      <w:bookmarkStart w:id="30" w:name="_Toc59612818"/>
      <w:bookmarkStart w:id="31" w:name="_Toc61422555"/>
      <w:bookmarkStart w:id="32" w:name="_Toc61422549"/>
      <w:bookmarkStart w:id="33" w:name="_Toc59612812"/>
      <w:r>
        <w:rPr>
          <w:rFonts w:eastAsia="方正楷体_GBK"/>
          <w:bCs/>
          <w:szCs w:val="32"/>
          <w:highlight w:val="none"/>
        </w:rPr>
        <w:t>六是农村人居环境持续改善</w:t>
      </w:r>
      <w:bookmarkEnd w:id="27"/>
      <w:bookmarkEnd w:id="28"/>
      <w:bookmarkEnd w:id="29"/>
      <w:r>
        <w:rPr>
          <w:rFonts w:eastAsia="方正楷体_GBK"/>
          <w:bCs/>
          <w:szCs w:val="32"/>
          <w:highlight w:val="none"/>
        </w:rPr>
        <w:t>。</w:t>
      </w:r>
      <w:r>
        <w:rPr>
          <w:highlight w:val="none"/>
        </w:rPr>
        <w:t>美丽宜居乡村建设大力推进</w:t>
      </w:r>
      <w:r>
        <w:rPr>
          <w:rFonts w:hint="eastAsia"/>
          <w:highlight w:val="none"/>
        </w:rPr>
        <w:t>，</w:t>
      </w:r>
      <w:r>
        <w:rPr>
          <w:highlight w:val="none"/>
        </w:rPr>
        <w:t>全市深入实施“厕所革命”、农村垃圾治理、污水处理、畜禽粪污资源化利用和村庄清洁“五大行动”，创建“美丽达州•宜居乡村”达标村</w:t>
      </w:r>
      <w:r>
        <w:rPr>
          <w:rFonts w:eastAsia="方正楷体_GBK"/>
          <w:kern w:val="0"/>
          <w:sz w:val="28"/>
          <w:szCs w:val="28"/>
          <w:highlight w:val="none"/>
        </w:rPr>
        <w:t>**</w:t>
      </w:r>
      <w:r>
        <w:rPr>
          <w:highlight w:val="none"/>
        </w:rPr>
        <w:t>个，新（改）建农村公厕</w:t>
      </w:r>
      <w:r>
        <w:rPr>
          <w:rFonts w:eastAsia="方正楷体_GBK"/>
          <w:kern w:val="0"/>
          <w:sz w:val="28"/>
          <w:szCs w:val="28"/>
          <w:highlight w:val="none"/>
        </w:rPr>
        <w:t>**</w:t>
      </w:r>
      <w:r>
        <w:rPr>
          <w:highlight w:val="none"/>
        </w:rPr>
        <w:t>座、农村户厕</w:t>
      </w:r>
      <w:r>
        <w:rPr>
          <w:rFonts w:eastAsia="方正楷体_GBK"/>
          <w:kern w:val="0"/>
          <w:sz w:val="28"/>
          <w:szCs w:val="28"/>
          <w:highlight w:val="none"/>
        </w:rPr>
        <w:t>**</w:t>
      </w:r>
      <w:r>
        <w:rPr>
          <w:highlight w:val="none"/>
        </w:rPr>
        <w:t>户，农村卫生厕所普及率达</w:t>
      </w:r>
      <w:r>
        <w:rPr>
          <w:rFonts w:eastAsia="方正楷体_GBK"/>
          <w:kern w:val="0"/>
          <w:sz w:val="28"/>
          <w:szCs w:val="28"/>
          <w:highlight w:val="none"/>
        </w:rPr>
        <w:t>**</w:t>
      </w:r>
      <w:r>
        <w:rPr>
          <w:highlight w:val="none"/>
        </w:rPr>
        <w:t>%，</w:t>
      </w:r>
      <w:r>
        <w:rPr>
          <w:rFonts w:eastAsia="方正楷体_GBK"/>
          <w:kern w:val="0"/>
          <w:sz w:val="28"/>
          <w:szCs w:val="28"/>
          <w:highlight w:val="none"/>
        </w:rPr>
        <w:t>**</w:t>
      </w:r>
      <w:r>
        <w:rPr>
          <w:highlight w:val="none"/>
        </w:rPr>
        <w:t>%以上行政村生活垃圾得到有效处理，农村生活污水有效处理率达</w:t>
      </w:r>
      <w:r>
        <w:rPr>
          <w:rFonts w:eastAsia="方正楷体_GBK"/>
          <w:kern w:val="0"/>
          <w:sz w:val="28"/>
          <w:szCs w:val="28"/>
          <w:highlight w:val="none"/>
        </w:rPr>
        <w:t>**</w:t>
      </w:r>
      <w:r>
        <w:rPr>
          <w:highlight w:val="none"/>
        </w:rPr>
        <w:t>%，畜禽粪污综合利用率达</w:t>
      </w:r>
      <w:r>
        <w:rPr>
          <w:rFonts w:eastAsia="方正楷体_GBK"/>
          <w:kern w:val="0"/>
          <w:sz w:val="28"/>
          <w:szCs w:val="28"/>
          <w:highlight w:val="none"/>
        </w:rPr>
        <w:t>**</w:t>
      </w:r>
      <w:r>
        <w:rPr>
          <w:highlight w:val="none"/>
        </w:rPr>
        <w:t>%以上，全部行政村建立了保洁员制度。</w:t>
      </w:r>
      <w:bookmarkStart w:id="34" w:name="_Toc72746610"/>
      <w:r>
        <w:rPr>
          <w:highlight w:val="none"/>
        </w:rPr>
        <w:t>农业生态文明建设成效显著</w:t>
      </w:r>
      <w:bookmarkEnd w:id="34"/>
      <w:r>
        <w:rPr>
          <w:rFonts w:hint="eastAsia"/>
          <w:highlight w:val="none"/>
        </w:rPr>
        <w:t>，</w:t>
      </w:r>
      <w:r>
        <w:rPr>
          <w:highlight w:val="none"/>
        </w:rPr>
        <w:t>全市化肥、农药使用量连续</w:t>
      </w:r>
      <w:r>
        <w:rPr>
          <w:rFonts w:eastAsia="方正楷体_GBK"/>
          <w:kern w:val="0"/>
          <w:sz w:val="28"/>
          <w:szCs w:val="28"/>
          <w:highlight w:val="none"/>
        </w:rPr>
        <w:t>**</w:t>
      </w:r>
      <w:r>
        <w:rPr>
          <w:highlight w:val="none"/>
        </w:rPr>
        <w:t>年保持负增长，主要农作物病虫害绿色防控覆盖率达</w:t>
      </w:r>
      <w:r>
        <w:rPr>
          <w:rFonts w:eastAsia="方正楷体_GBK"/>
          <w:kern w:val="0"/>
          <w:sz w:val="28"/>
          <w:szCs w:val="28"/>
          <w:highlight w:val="none"/>
        </w:rPr>
        <w:t>**</w:t>
      </w:r>
      <w:r>
        <w:rPr>
          <w:highlight w:val="none"/>
        </w:rPr>
        <w:t>%，专业化统防统治覆盖率达</w:t>
      </w:r>
      <w:r>
        <w:rPr>
          <w:rFonts w:eastAsia="方正楷体_GBK"/>
          <w:kern w:val="0"/>
          <w:sz w:val="28"/>
          <w:szCs w:val="28"/>
          <w:highlight w:val="none"/>
        </w:rPr>
        <w:t>**</w:t>
      </w:r>
      <w:r>
        <w:rPr>
          <w:highlight w:val="none"/>
        </w:rPr>
        <w:t>%，农膜回收率</w:t>
      </w:r>
      <w:r>
        <w:rPr>
          <w:rFonts w:eastAsia="方正楷体_GBK"/>
          <w:kern w:val="0"/>
          <w:sz w:val="28"/>
          <w:szCs w:val="28"/>
          <w:highlight w:val="none"/>
        </w:rPr>
        <w:t>**</w:t>
      </w:r>
      <w:r>
        <w:rPr>
          <w:highlight w:val="none"/>
        </w:rPr>
        <w:t>%以上，秸秆“五化”利用率达</w:t>
      </w:r>
      <w:r>
        <w:rPr>
          <w:rFonts w:eastAsia="方正楷体_GBK"/>
          <w:kern w:val="0"/>
          <w:sz w:val="28"/>
          <w:szCs w:val="28"/>
          <w:highlight w:val="none"/>
        </w:rPr>
        <w:t>**</w:t>
      </w:r>
      <w:r>
        <w:rPr>
          <w:highlight w:val="none"/>
        </w:rPr>
        <w:t>%</w:t>
      </w:r>
      <w:r>
        <w:rPr>
          <w:rFonts w:hint="eastAsia"/>
          <w:highlight w:val="none"/>
        </w:rPr>
        <w:t>；</w:t>
      </w:r>
      <w:r>
        <w:rPr>
          <w:highlight w:val="none"/>
        </w:rPr>
        <w:t>通川区入选省级农产品产地土壤重金属污染综合防治试点县</w:t>
      </w:r>
      <w:r>
        <w:rPr>
          <w:rFonts w:hint="eastAsia"/>
          <w:highlight w:val="none"/>
        </w:rPr>
        <w:t>；</w:t>
      </w:r>
      <w:r>
        <w:rPr>
          <w:highlight w:val="none"/>
        </w:rPr>
        <w:t>建成</w:t>
      </w:r>
      <w:r>
        <w:rPr>
          <w:rFonts w:eastAsia="方正楷体_GBK"/>
          <w:kern w:val="0"/>
          <w:sz w:val="28"/>
          <w:szCs w:val="28"/>
          <w:highlight w:val="none"/>
        </w:rPr>
        <w:t>**</w:t>
      </w:r>
      <w:r>
        <w:rPr>
          <w:highlight w:val="none"/>
        </w:rPr>
        <w:t>个种养循环示范场，规模养殖场粪污处理设施装备配套率达</w:t>
      </w:r>
      <w:r>
        <w:rPr>
          <w:rFonts w:eastAsia="方正楷体_GBK"/>
          <w:kern w:val="0"/>
          <w:sz w:val="28"/>
          <w:szCs w:val="28"/>
          <w:highlight w:val="none"/>
        </w:rPr>
        <w:t>**</w:t>
      </w:r>
      <w:r>
        <w:rPr>
          <w:highlight w:val="none"/>
        </w:rPr>
        <w:t>%，规模养殖和屠宰环节病死畜禽无害化处理率达</w:t>
      </w:r>
      <w:r>
        <w:rPr>
          <w:rFonts w:eastAsia="方正楷体_GBK"/>
          <w:kern w:val="0"/>
          <w:sz w:val="28"/>
          <w:szCs w:val="28"/>
          <w:highlight w:val="none"/>
        </w:rPr>
        <w:t>**</w:t>
      </w:r>
      <w:r>
        <w:rPr>
          <w:highlight w:val="none"/>
        </w:rPr>
        <w:t>%。</w:t>
      </w:r>
    </w:p>
    <w:p>
      <w:pPr>
        <w:ind w:firstLine="640"/>
        <w:rPr>
          <w:highlight w:val="none"/>
        </w:rPr>
      </w:pPr>
      <w:bookmarkStart w:id="35" w:name="_Toc72746615"/>
      <w:r>
        <w:rPr>
          <w:rFonts w:eastAsia="方正楷体_GBK"/>
          <w:bCs/>
          <w:szCs w:val="32"/>
          <w:highlight w:val="none"/>
        </w:rPr>
        <w:t>七是农民生活水平显著提高</w:t>
      </w:r>
      <w:bookmarkEnd w:id="35"/>
      <w:r>
        <w:rPr>
          <w:rFonts w:eastAsia="方正楷体_GBK"/>
          <w:bCs/>
          <w:szCs w:val="32"/>
          <w:highlight w:val="none"/>
        </w:rPr>
        <w:t>。</w:t>
      </w:r>
      <w:r>
        <w:rPr>
          <w:highlight w:val="none"/>
        </w:rPr>
        <w:t>农民收入稳步提升</w:t>
      </w:r>
      <w:r>
        <w:rPr>
          <w:rFonts w:hint="eastAsia"/>
          <w:highlight w:val="none"/>
        </w:rPr>
        <w:t>，</w:t>
      </w:r>
      <w:r>
        <w:rPr>
          <w:highlight w:val="none"/>
        </w:rPr>
        <w:t>2020年全市农村居民人均可支配收入达16876元，较“十二五”末增加6188元，年均增长9.6%</w:t>
      </w:r>
      <w:r>
        <w:rPr>
          <w:rFonts w:hint="eastAsia"/>
          <w:highlight w:val="none"/>
        </w:rPr>
        <w:t>，</w:t>
      </w:r>
      <w:r>
        <w:rPr>
          <w:highlight w:val="none"/>
        </w:rPr>
        <w:t>城镇居民人均可支配收入由23884元增至36001元，年均增长8.6%，农村年均增速高于城镇。城乡收入差距不断缩小</w:t>
      </w:r>
      <w:r>
        <w:rPr>
          <w:rFonts w:hint="eastAsia"/>
          <w:highlight w:val="none"/>
        </w:rPr>
        <w:t>，</w:t>
      </w:r>
      <w:r>
        <w:rPr>
          <w:highlight w:val="none"/>
        </w:rPr>
        <w:t>全市城乡居民收入比从2015年2.23:1缩小到2020年2.13:1。农村基础设施建设极大改善</w:t>
      </w:r>
      <w:r>
        <w:rPr>
          <w:rFonts w:hint="eastAsia"/>
          <w:highlight w:val="none"/>
        </w:rPr>
        <w:t>，</w:t>
      </w:r>
      <w:r>
        <w:rPr>
          <w:highlight w:val="none"/>
        </w:rPr>
        <w:t>全市集中供水率达到90%，农村自来水普及率达到85%</w:t>
      </w:r>
      <w:r>
        <w:rPr>
          <w:rFonts w:hint="eastAsia"/>
          <w:highlight w:val="none"/>
        </w:rPr>
        <w:t>；</w:t>
      </w:r>
      <w:r>
        <w:rPr>
          <w:highlight w:val="none"/>
        </w:rPr>
        <w:t>实施农村道路建设，建制村100%通硬化路、92%通客车</w:t>
      </w:r>
      <w:r>
        <w:rPr>
          <w:rFonts w:hint="eastAsia"/>
          <w:highlight w:val="none"/>
        </w:rPr>
        <w:t>；</w:t>
      </w:r>
      <w:r>
        <w:rPr>
          <w:highlight w:val="none"/>
        </w:rPr>
        <w:t>完成农村危房改造</w:t>
      </w:r>
      <w:r>
        <w:rPr>
          <w:rFonts w:eastAsia="方正楷体_GBK"/>
          <w:kern w:val="0"/>
          <w:sz w:val="28"/>
          <w:szCs w:val="28"/>
          <w:highlight w:val="none"/>
        </w:rPr>
        <w:t>**</w:t>
      </w:r>
      <w:r>
        <w:rPr>
          <w:highlight w:val="none"/>
        </w:rPr>
        <w:t>户。农村公共服务水平不断提高</w:t>
      </w:r>
      <w:r>
        <w:rPr>
          <w:rFonts w:hint="eastAsia"/>
          <w:highlight w:val="none"/>
        </w:rPr>
        <w:t>，</w:t>
      </w:r>
      <w:r>
        <w:rPr>
          <w:highlight w:val="none"/>
        </w:rPr>
        <w:t>村文化活动室、农家书屋、村卫生室基本实现全覆盖，城镇居民基本养老保险参加人数达</w:t>
      </w:r>
      <w:r>
        <w:rPr>
          <w:rFonts w:eastAsia="方正楷体_GBK"/>
          <w:kern w:val="0"/>
          <w:sz w:val="28"/>
          <w:szCs w:val="28"/>
          <w:highlight w:val="none"/>
        </w:rPr>
        <w:t>**</w:t>
      </w:r>
      <w:r>
        <w:rPr>
          <w:highlight w:val="none"/>
        </w:rPr>
        <w:t>万人。</w:t>
      </w:r>
    </w:p>
    <w:p>
      <w:pPr>
        <w:ind w:firstLine="640"/>
        <w:rPr>
          <w:highlight w:val="none"/>
        </w:rPr>
      </w:pPr>
      <w:bookmarkStart w:id="36" w:name="_Hlk65350678"/>
      <w:bookmarkStart w:id="37" w:name="_Toc59612814"/>
      <w:bookmarkStart w:id="38" w:name="_Toc61422551"/>
      <w:bookmarkStart w:id="39" w:name="_Toc72746616"/>
      <w:r>
        <w:rPr>
          <w:highlight w:val="none"/>
        </w:rPr>
        <w:t>经过“十三五”时期的努力奋斗，我市“三农”工作取得了明显进步，一二三产加速融合，农村环境持续改革，农民收入稳步增长，全面开启农业农村现代化站在了新的历史起点。但也应清醒认识到，我市“三农”工作还面临不少问题。</w:t>
      </w:r>
      <w:r>
        <w:rPr>
          <w:rFonts w:hint="eastAsia" w:eastAsia="方正楷体_GBK"/>
          <w:szCs w:val="22"/>
          <w:highlight w:val="none"/>
        </w:rPr>
        <w:t>一是产业质量效益和竞争力依然偏低。</w:t>
      </w:r>
      <w:bookmarkStart w:id="40" w:name="_Toc61422553"/>
      <w:r>
        <w:rPr>
          <w:highlight w:val="none"/>
        </w:rPr>
        <w:t>我市是传统农业大市，粮食总产全省第一，油料产量全省第三，但总体表现为“农业大而不强、产业多而不优”。农业基础设施薄弱，有效灌溉面积仅占耕地面积的39.29%，高标准农田占比也不足五成，现代农业装备跟不上产业发展需求。特色产业多而杂，布局分散，标准化、集约化水平不高，肉牛、茶叶、苎麻等产量不足以满足加工需求。农业产业化水平不高，农产品以初级产品为主，精深加工少，缺乏高端优质产品，品牌影响力小。产业融合发展不足，与旅游、健康养老、教育等产业融合程度不深。农业科技创新乏力，高科技人才缺乏，研发成果转化运用不</w:t>
      </w:r>
      <w:r>
        <w:rPr>
          <w:rFonts w:hint="eastAsia"/>
          <w:highlight w:val="none"/>
        </w:rPr>
        <w:t>足</w:t>
      </w:r>
      <w:r>
        <w:rPr>
          <w:highlight w:val="none"/>
        </w:rPr>
        <w:t>，种业发展起步较晚，农民素质有待提高，总体核心竞争力</w:t>
      </w:r>
      <w:r>
        <w:rPr>
          <w:rFonts w:hint="eastAsia"/>
          <w:highlight w:val="none"/>
        </w:rPr>
        <w:t>不强</w:t>
      </w:r>
      <w:r>
        <w:rPr>
          <w:highlight w:val="none"/>
        </w:rPr>
        <w:t>。</w:t>
      </w:r>
      <w:bookmarkStart w:id="41" w:name="_Toc72746618"/>
      <w:r>
        <w:rPr>
          <w:rFonts w:hint="eastAsia" w:eastAsia="方正楷体_GBK"/>
          <w:szCs w:val="22"/>
          <w:highlight w:val="none"/>
        </w:rPr>
        <w:t>二是农村基础设施和公共服务还不</w:t>
      </w:r>
      <w:bookmarkEnd w:id="40"/>
      <w:r>
        <w:rPr>
          <w:rFonts w:hint="eastAsia" w:eastAsia="方正楷体_GBK"/>
          <w:szCs w:val="22"/>
          <w:highlight w:val="none"/>
        </w:rPr>
        <w:t>完善</w:t>
      </w:r>
      <w:bookmarkEnd w:id="41"/>
      <w:bookmarkStart w:id="42" w:name="_Toc61422554"/>
      <w:bookmarkStart w:id="43" w:name="_Toc59612817"/>
      <w:r>
        <w:rPr>
          <w:rFonts w:hint="eastAsia" w:eastAsia="方正楷体_GBK"/>
          <w:szCs w:val="22"/>
          <w:highlight w:val="none"/>
        </w:rPr>
        <w:t>。</w:t>
      </w:r>
      <w:r>
        <w:rPr>
          <w:highlight w:val="none"/>
        </w:rPr>
        <w:t>城乡发展机制不健全，农村水电路气房网等基础设施与城镇差距仍然较大，农村道路尽管实现了“村村通”，但多以3.5米标准建设，难以满足未来农村小客车增长需求，也难满足城镇居民返乡下乡休闲旅游、养生养老、创新创业需求。农村人居环境脏、乱、差问题仍然突出，</w:t>
      </w:r>
      <w:bookmarkStart w:id="44" w:name="_Hlk73959274"/>
      <w:r>
        <w:rPr>
          <w:highlight w:val="none"/>
        </w:rPr>
        <w:t xml:space="preserve">仍有38.5%的行政村生活污水没有得到有效治理， </w:t>
      </w:r>
      <w:r>
        <w:rPr>
          <w:rFonts w:eastAsia="方正楷体_GBK"/>
          <w:kern w:val="0"/>
          <w:sz w:val="28"/>
          <w:szCs w:val="28"/>
          <w:highlight w:val="none"/>
        </w:rPr>
        <w:t>**</w:t>
      </w:r>
      <w:r>
        <w:rPr>
          <w:highlight w:val="none"/>
        </w:rPr>
        <w:t>的农村没有建设卫生化厕所。“十三五”期间，城镇化率由</w:t>
      </w:r>
      <w:r>
        <w:rPr>
          <w:rFonts w:eastAsia="方正楷体_GBK"/>
          <w:kern w:val="0"/>
          <w:sz w:val="28"/>
          <w:szCs w:val="28"/>
          <w:highlight w:val="none"/>
        </w:rPr>
        <w:t>**</w:t>
      </w:r>
      <w:r>
        <w:rPr>
          <w:highlight w:val="none"/>
        </w:rPr>
        <w:t>提升至</w:t>
      </w:r>
      <w:r>
        <w:rPr>
          <w:rFonts w:eastAsia="方正楷体_GBK"/>
          <w:kern w:val="0"/>
          <w:sz w:val="28"/>
          <w:szCs w:val="28"/>
          <w:highlight w:val="none"/>
        </w:rPr>
        <w:t>**</w:t>
      </w:r>
      <w:r>
        <w:rPr>
          <w:highlight w:val="none"/>
        </w:rPr>
        <w:t>%，但城乡公共服务差距明显，在农村教育、医疗、就业、文化等方面投入远低于城市，服务水平与老百姓的期盼仍有差距。</w:t>
      </w:r>
      <w:bookmarkEnd w:id="42"/>
      <w:bookmarkEnd w:id="43"/>
      <w:bookmarkEnd w:id="44"/>
      <w:bookmarkStart w:id="45" w:name="_Toc72746619"/>
      <w:r>
        <w:rPr>
          <w:highlight w:val="none"/>
        </w:rPr>
        <w:t>“三农”公共服务资源还需进一步整合，多领域的城乡基础设施共建共享、互联互通还需进一步融合</w:t>
      </w:r>
      <w:r>
        <w:rPr>
          <w:rFonts w:hint="eastAsia"/>
          <w:highlight w:val="none"/>
        </w:rPr>
        <w:t>。</w:t>
      </w:r>
      <w:r>
        <w:rPr>
          <w:rFonts w:hint="eastAsia" w:eastAsia="方正楷体_GBK"/>
          <w:szCs w:val="22"/>
          <w:highlight w:val="none"/>
        </w:rPr>
        <w:t>三是农业农村现代化发展要素活力有待激发。</w:t>
      </w:r>
      <w:bookmarkEnd w:id="45"/>
      <w:r>
        <w:rPr>
          <w:highlight w:val="none"/>
        </w:rPr>
        <w:t>农产品价格提升空间有限，依靠转移就业促进农民增收空间收窄，家庭经营收入和工资性收入增速放缓，高素质青壮年劳动力不足，空心村、老龄村逐年增加。党管“三农”的组织体系、制度体系和工作机制仍不完善，统筹各方共同推进乡村振兴的工作格局尚未形成，土地、技术、资本、人才留在乡村、流向乡村的机制还不完善</w:t>
      </w:r>
      <w:r>
        <w:rPr>
          <w:rFonts w:hint="eastAsia"/>
          <w:highlight w:val="none"/>
        </w:rPr>
        <w:t>、</w:t>
      </w:r>
      <w:r>
        <w:rPr>
          <w:highlight w:val="none"/>
        </w:rPr>
        <w:t>不健全，农村用地难、贷款难、人才缺乏等问题依然突出，部分改革政策难落地，造成农业农村发展内在活力不足，实现农业强、农村美、农民富的最终目标任重道远。</w:t>
      </w:r>
    </w:p>
    <w:bookmarkEnd w:id="36"/>
    <w:p>
      <w:pPr>
        <w:ind w:firstLine="0" w:firstLineChars="0"/>
        <w:jc w:val="center"/>
        <w:outlineLvl w:val="1"/>
        <w:rPr>
          <w:rFonts w:eastAsia="方正黑体_GBK"/>
          <w:bCs/>
          <w:szCs w:val="32"/>
          <w:highlight w:val="none"/>
        </w:rPr>
      </w:pPr>
      <w:bookmarkStart w:id="46" w:name="_Toc73979839"/>
      <w:r>
        <w:rPr>
          <w:rFonts w:eastAsia="方正黑体_GBK"/>
          <w:bCs/>
          <w:szCs w:val="32"/>
          <w:highlight w:val="none"/>
        </w:rPr>
        <w:t xml:space="preserve">第二章  </w:t>
      </w:r>
      <w:bookmarkEnd w:id="37"/>
      <w:bookmarkEnd w:id="38"/>
      <w:bookmarkEnd w:id="39"/>
      <w:r>
        <w:rPr>
          <w:rFonts w:eastAsia="方正黑体_GBK"/>
          <w:bCs/>
          <w:szCs w:val="32"/>
          <w:highlight w:val="none"/>
        </w:rPr>
        <w:t>面临形势</w:t>
      </w:r>
      <w:bookmarkEnd w:id="46"/>
    </w:p>
    <w:p>
      <w:pPr>
        <w:ind w:firstLine="640"/>
        <w:rPr>
          <w:szCs w:val="32"/>
          <w:highlight w:val="none"/>
        </w:rPr>
      </w:pPr>
      <w:bookmarkStart w:id="47" w:name="_Hlk67155067"/>
      <w:bookmarkStart w:id="48" w:name="_Toc61422556"/>
      <w:bookmarkStart w:id="49" w:name="_Toc59612819"/>
      <w:bookmarkStart w:id="50" w:name="_Toc59612815"/>
      <w:bookmarkStart w:id="51" w:name="_Toc72746617"/>
      <w:bookmarkStart w:id="52" w:name="_Toc61422552"/>
      <w:r>
        <w:rPr>
          <w:highlight w:val="none"/>
        </w:rPr>
        <w:t>“十四五”是乘势而上开启全面建设社会主义现代化国家新征程、向第二个百年奋斗目标进军的第一个五年，是“两个百年目标”交接、脱贫攻坚与乡村振兴衔接、深化供给侧结构性改革等重要历史节点。在这个关键时期，</w:t>
      </w:r>
      <w:r>
        <w:rPr>
          <w:szCs w:val="32"/>
          <w:highlight w:val="none"/>
        </w:rPr>
        <w:t>农业农村现代化进程直接关系到社会主义现代化目标的进度和质量成色，也面临着错综复杂的国内外形势。</w:t>
      </w:r>
      <w:r>
        <w:rPr>
          <w:rFonts w:eastAsia="方正楷体_GBK"/>
          <w:szCs w:val="22"/>
          <w:highlight w:val="none"/>
        </w:rPr>
        <w:t>从国际层面看，</w:t>
      </w:r>
      <w:r>
        <w:rPr>
          <w:szCs w:val="32"/>
          <w:highlight w:val="none"/>
        </w:rPr>
        <w:t>世界正经历百年未有之大变局，新冠肺炎疫情全球大流行促使大变局加速演进，博弈冲突成为常态，不稳定不确定因素明显增加，但和平与发展仍是时代主题。</w:t>
      </w:r>
      <w:r>
        <w:rPr>
          <w:rFonts w:eastAsia="方正楷体_GBK"/>
          <w:szCs w:val="22"/>
          <w:highlight w:val="none"/>
        </w:rPr>
        <w:t>从国内层面看，</w:t>
      </w:r>
      <w:r>
        <w:rPr>
          <w:szCs w:val="32"/>
          <w:highlight w:val="none"/>
        </w:rPr>
        <w:t>我国农业农村发展取得了历史性成就，但随着资源与环境约束不断增强，农产品消费进入新常态，人民日益增长的美好生活需要和不平衡不充发展之间的矛盾依然存在。</w:t>
      </w:r>
      <w:r>
        <w:rPr>
          <w:rFonts w:eastAsia="方正楷体_GBK"/>
          <w:szCs w:val="22"/>
          <w:highlight w:val="none"/>
        </w:rPr>
        <w:t>从省级层面看，</w:t>
      </w:r>
      <w:r>
        <w:rPr>
          <w:szCs w:val="32"/>
          <w:highlight w:val="none"/>
        </w:rPr>
        <w:t>成渝地区双城经济圈建设开局良好，“一干多支”发展战略深入实施，乡村振兴扎实推进，但人均水平在全国排名还不高，发展不足、质量不高等问题</w:t>
      </w:r>
      <w:r>
        <w:rPr>
          <w:rFonts w:hint="eastAsia"/>
          <w:szCs w:val="32"/>
          <w:highlight w:val="none"/>
        </w:rPr>
        <w:t>依然</w:t>
      </w:r>
      <w:r>
        <w:rPr>
          <w:szCs w:val="32"/>
          <w:highlight w:val="none"/>
        </w:rPr>
        <w:t>突出。</w:t>
      </w:r>
      <w:r>
        <w:rPr>
          <w:rFonts w:eastAsia="方正楷体_GBK"/>
          <w:szCs w:val="22"/>
          <w:highlight w:val="none"/>
        </w:rPr>
        <w:t>从达州层面看，</w:t>
      </w:r>
      <w:r>
        <w:rPr>
          <w:szCs w:val="32"/>
          <w:highlight w:val="none"/>
        </w:rPr>
        <w:t>粮食等大宗农产品生产稳定，农村生活条件极大改善，农民</w:t>
      </w:r>
      <w:r>
        <w:rPr>
          <w:highlight w:val="none"/>
        </w:rPr>
        <w:t>幸福感获得感</w:t>
      </w:r>
      <w:r>
        <w:rPr>
          <w:szCs w:val="32"/>
          <w:highlight w:val="none"/>
        </w:rPr>
        <w:t>不断提升，但农业现代化水平还不高，乡村振兴活力还不足，农村基础设施和公共服务仍薄弱。</w:t>
      </w:r>
    </w:p>
    <w:p>
      <w:pPr>
        <w:ind w:firstLine="640"/>
        <w:rPr>
          <w:rFonts w:eastAsia="方正楷体_GBK"/>
          <w:bCs/>
          <w:szCs w:val="32"/>
          <w:highlight w:val="none"/>
        </w:rPr>
      </w:pPr>
      <w:r>
        <w:rPr>
          <w:szCs w:val="32"/>
          <w:highlight w:val="none"/>
        </w:rPr>
        <w:t>形势逼人，但“十四五”时期，我市农业农村发展的外部环境、阶段特征和比较优势深刻变化，面临一系列重大机遇。</w:t>
      </w:r>
      <w:bookmarkEnd w:id="47"/>
      <w:bookmarkEnd w:id="48"/>
      <w:bookmarkEnd w:id="49"/>
      <w:r>
        <w:rPr>
          <w:rFonts w:eastAsia="方正楷体_GBK"/>
          <w:szCs w:val="22"/>
          <w:highlight w:val="none"/>
        </w:rPr>
        <w:t>一是政策支持机遇。</w:t>
      </w:r>
      <w:r>
        <w:rPr>
          <w:szCs w:val="32"/>
          <w:highlight w:val="none"/>
        </w:rPr>
        <w:t>民族要复兴，乡村必振兴。全面建设社会主义现代化国家，最广泛最深厚的基础依然在农村，解决发展不平衡不充分问题，重点难点在“三农”，迫切需要补齐农业农村短板弱项，迫切需要稳住农业基本盘。“一带一路”建设、长江经济带发展、新时代西部大开发、川陕革命老区振兴发展、成渝地区双城经济圈建设等系列战略布局，持续推进全面脱贫与乡村振兴有效衔接，为我市农业农村现代化发展提供强有力的政策支持。</w:t>
      </w:r>
      <w:r>
        <w:rPr>
          <w:rFonts w:eastAsia="方正楷体_GBK"/>
          <w:szCs w:val="22"/>
          <w:highlight w:val="none"/>
        </w:rPr>
        <w:t>二是创新改革机遇。</w:t>
      </w:r>
      <w:r>
        <w:rPr>
          <w:szCs w:val="32"/>
          <w:highlight w:val="none"/>
        </w:rPr>
        <w:t>当前，全球以信息化、数据化、智能化为主要特征的新一轮科技革命、产业变革方兴未艾，5G、大数据、物联网、人工智能、区块链等技术手段在农业农村领域运用不断成熟，为农业农村发展方式转变、发展结构优化、增长动力转换、农业农村生产经营和管理服务数字化、农村信息网络等基础设施建设带来难得的发展机遇。随着农村土地制度、集体产权制度、宅基地制度、金融制度等领域改革创新进一步深化，创新驱动发展战略加快实施，大众创业万众创新蓬勃发展，为盘活乡村资源，激活乡村发展活力提供难得的机遇。</w:t>
      </w:r>
      <w:r>
        <w:rPr>
          <w:rFonts w:eastAsia="方正楷体_GBK"/>
          <w:szCs w:val="22"/>
          <w:highlight w:val="none"/>
        </w:rPr>
        <w:t>三是区域协同机遇。</w:t>
      </w:r>
      <w:r>
        <w:rPr>
          <w:szCs w:val="32"/>
          <w:highlight w:val="none"/>
        </w:rPr>
        <w:t>以国内大循环为主体、国内国际双循环相互促进的新发展格局</w:t>
      </w:r>
      <w:r>
        <w:rPr>
          <w:rFonts w:hint="eastAsia"/>
          <w:szCs w:val="32"/>
          <w:highlight w:val="none"/>
        </w:rPr>
        <w:t>加速</w:t>
      </w:r>
      <w:r>
        <w:rPr>
          <w:szCs w:val="32"/>
          <w:highlight w:val="none"/>
        </w:rPr>
        <w:t>形成，推动成渝</w:t>
      </w:r>
      <w:r>
        <w:rPr>
          <w:rFonts w:hint="eastAsia"/>
          <w:szCs w:val="32"/>
          <w:highlight w:val="none"/>
        </w:rPr>
        <w:t>地区</w:t>
      </w:r>
      <w:r>
        <w:rPr>
          <w:szCs w:val="32"/>
          <w:highlight w:val="none"/>
        </w:rPr>
        <w:t>双城经济圈建设、创建万达开川渝统筹发展示范区、建设城宣万革命老区振兴发展示范区、建设明月山绿色发展示范带，系列站位全局、着眼长远的重大战略部署为我市农业农村发展对外合作拓宽了空间。为贯彻国家重大战略部署，川渝共同提出建设成渝现代高效特色农业带，万达开三地携手共建农业农村协同发展示范区，系列战略部署和政策导向，为我市开展区域乡村振兴协同发展、拓展对外开放空间、畅通要素流动提供重要机遇。</w:t>
      </w:r>
    </w:p>
    <w:bookmarkEnd w:id="30"/>
    <w:bookmarkEnd w:id="31"/>
    <w:bookmarkEnd w:id="50"/>
    <w:bookmarkEnd w:id="51"/>
    <w:bookmarkEnd w:id="52"/>
    <w:p>
      <w:pPr>
        <w:ind w:firstLine="640"/>
        <w:rPr>
          <w:szCs w:val="32"/>
          <w:highlight w:val="none"/>
        </w:rPr>
      </w:pPr>
      <w:r>
        <w:rPr>
          <w:szCs w:val="32"/>
          <w:highlight w:val="none"/>
        </w:rPr>
        <w:t>但同时，我们也看到，农业农村发展内外部环境更加错综复杂，要实现农业农村现代化还面临诸多挑战。</w:t>
      </w:r>
      <w:r>
        <w:rPr>
          <w:rFonts w:eastAsia="方正楷体_GBK"/>
          <w:szCs w:val="22"/>
          <w:highlight w:val="none"/>
        </w:rPr>
        <w:t>一是供给侧改革任务艰巨。</w:t>
      </w:r>
      <w:r>
        <w:rPr>
          <w:szCs w:val="32"/>
          <w:highlight w:val="none"/>
        </w:rPr>
        <w:t>随着我国经济社会发展，消费需求不断升级，必然对农业设施配套、农产品加工升级、农业品牌突破、新兴业态丰富等一系列关键环节提出更高要求，我市农业高质量发展和更好满足消费需求将面临不小挑战。同时，国际农产品贸易环境越来越多样复杂、农产品市场竞争日益激烈，我市要在农业供给侧结构性改革中取得突破，增强市场竞争力，全面提高农业发展质量效益将面临严峻挑战。</w:t>
      </w:r>
      <w:r>
        <w:rPr>
          <w:rFonts w:eastAsia="方正楷体_GBK"/>
          <w:szCs w:val="22"/>
          <w:highlight w:val="none"/>
        </w:rPr>
        <w:t>二是农民增收遭遇瓶颈。</w:t>
      </w:r>
      <w:r>
        <w:rPr>
          <w:szCs w:val="32"/>
          <w:highlight w:val="none"/>
        </w:rPr>
        <w:t>促进农民持续增收、持续缩小城乡居民收入差距，是“三农”工作的重中之重，也是“十四五”时期农业农村现代化的核心目标。但随着国际市场萎缩、国内经济结构调整，新一代科技革命引发用工模式变革，大量工作机会将被机械或人工智能替代，农民转移就业空间不断变窄。受人工和土地成本持续上升影响，农民经营性收入不容乐观。尽管农业农村改革不断深化，但土地、房屋等财产权利不完整、权益不平等，一定程度上约束了财产性收入。总之，巩固拓展脱贫攻坚任务艰巨，保障农民持续增收，还有很长的路要走。</w:t>
      </w:r>
      <w:r>
        <w:rPr>
          <w:rFonts w:eastAsia="方正楷体_GBK"/>
          <w:szCs w:val="22"/>
          <w:highlight w:val="none"/>
        </w:rPr>
        <w:t>三是资源开发接近极限。</w:t>
      </w:r>
      <w:r>
        <w:rPr>
          <w:szCs w:val="32"/>
          <w:highlight w:val="none"/>
        </w:rPr>
        <w:t>粮食安全是国家安全的重要基础，作为全省产粮大市，我市在保障粮食安全方面肩负着重大责任和历史使命，但耕地资源复用指数偏高，之前粗犷式发展模式一定程度上破坏了耕地地力，农业资源利用硬约束越来越明显。随着长江经济带负面清单出台，达州作为长江上游、秦巴生物多样性保护区，资源环境承载能力较弱，自然灾害频发，水土流失严重，生态建设和环境保护任务艰巨，稳定粮食生产与保护资源环境矛盾突出。</w:t>
      </w:r>
      <w:bookmarkEnd w:id="32"/>
      <w:bookmarkEnd w:id="33"/>
    </w:p>
    <w:p>
      <w:pPr>
        <w:ind w:firstLine="0" w:firstLineChars="0"/>
        <w:jc w:val="center"/>
        <w:outlineLvl w:val="1"/>
        <w:rPr>
          <w:rFonts w:eastAsia="方正黑体_GBK"/>
          <w:bCs/>
          <w:szCs w:val="32"/>
          <w:highlight w:val="none"/>
        </w:rPr>
      </w:pPr>
      <w:bookmarkStart w:id="53" w:name="_Toc73979840"/>
      <w:bookmarkStart w:id="54" w:name="_Toc61422559"/>
      <w:bookmarkStart w:id="55" w:name="_Toc72746624"/>
      <w:bookmarkStart w:id="56" w:name="_Toc59612822"/>
      <w:r>
        <w:rPr>
          <w:rFonts w:eastAsia="方正黑体_GBK"/>
          <w:bCs/>
          <w:szCs w:val="32"/>
          <w:highlight w:val="none"/>
        </w:rPr>
        <w:t>第三章  指导思想</w:t>
      </w:r>
      <w:bookmarkEnd w:id="53"/>
      <w:bookmarkEnd w:id="54"/>
      <w:bookmarkEnd w:id="55"/>
      <w:bookmarkEnd w:id="56"/>
    </w:p>
    <w:p>
      <w:pPr>
        <w:spacing w:line="600" w:lineRule="exact"/>
        <w:ind w:firstLine="640"/>
        <w:rPr>
          <w:szCs w:val="32"/>
          <w:highlight w:val="none"/>
        </w:rPr>
      </w:pPr>
      <w:r>
        <w:rPr>
          <w:szCs w:val="32"/>
          <w:highlight w:val="none"/>
        </w:rPr>
        <w:t>坚持以习近平新时代中国特色社会主义思想为指导，深入贯彻党的十九大和十九届二中、三中、四中、五中全会精神，深入学习贯彻习近平总书记对四川工作系列重要指示精神和中央农村工作会议精神，认真抓好省委十一届七次、八次全会、农村工作会议和市委四届九次、十次全会部署，坚持“五位一体”总体布局和“四个全面”战略布局，立足新发展阶段、贯彻新发展理念、构建新发展格局，加强党对“三农”工作的全面领导，以乡村振兴为统揽，以推动高质量发展为主题，以农业供给侧结构性改革为主线，以满足人民日益增长的美好生活需要为根本目的，坚持统筹城乡、区域协同、改革创新、开放合作，聚焦“达州市农产品加工千亿产业集群、成渝地区现代农业强市、川渝陕结合部乡村振兴示范市、中国西部富硒农产品加工基地”四大目标，加快构建现代农业“9+3”产业体系，促进</w:t>
      </w:r>
      <w:bookmarkStart w:id="57" w:name="_Hlk73547465"/>
      <w:r>
        <w:rPr>
          <w:szCs w:val="32"/>
          <w:highlight w:val="none"/>
        </w:rPr>
        <w:t>农业高质高效、乡村宜居宜业、农民富裕富足</w:t>
      </w:r>
      <w:bookmarkEnd w:id="57"/>
      <w:r>
        <w:rPr>
          <w:szCs w:val="32"/>
          <w:highlight w:val="none"/>
        </w:rPr>
        <w:t>，为争创全省经济副中心和建设物质富裕、精神富有、生活富足的现代化达州提供有力支撑。</w:t>
      </w:r>
    </w:p>
    <w:p>
      <w:pPr>
        <w:ind w:firstLine="0" w:firstLineChars="0"/>
        <w:jc w:val="center"/>
        <w:outlineLvl w:val="1"/>
        <w:rPr>
          <w:rFonts w:eastAsia="方正黑体_GBK"/>
          <w:bCs/>
          <w:szCs w:val="32"/>
          <w:highlight w:val="none"/>
        </w:rPr>
      </w:pPr>
      <w:bookmarkStart w:id="58" w:name="_Toc72746625"/>
      <w:bookmarkStart w:id="59" w:name="_Toc61422560"/>
      <w:bookmarkStart w:id="60" w:name="_Toc73979841"/>
      <w:bookmarkStart w:id="61" w:name="_Toc59612823"/>
      <w:r>
        <w:rPr>
          <w:rFonts w:eastAsia="方正黑体_GBK"/>
          <w:bCs/>
          <w:szCs w:val="32"/>
          <w:highlight w:val="none"/>
        </w:rPr>
        <w:t>第四章  基本原则</w:t>
      </w:r>
      <w:bookmarkEnd w:id="58"/>
      <w:bookmarkEnd w:id="59"/>
      <w:bookmarkEnd w:id="60"/>
      <w:bookmarkEnd w:id="61"/>
    </w:p>
    <w:p>
      <w:pPr>
        <w:ind w:firstLine="640"/>
        <w:rPr>
          <w:szCs w:val="32"/>
          <w:highlight w:val="none"/>
        </w:rPr>
      </w:pPr>
      <w:r>
        <w:rPr>
          <w:rFonts w:eastAsia="方正楷体_GBK"/>
          <w:bCs/>
          <w:szCs w:val="32"/>
          <w:highlight w:val="none"/>
        </w:rPr>
        <w:t>坚持创新发展，加快提质增效。</w:t>
      </w:r>
      <w:r>
        <w:rPr>
          <w:szCs w:val="32"/>
          <w:highlight w:val="none"/>
        </w:rPr>
        <w:t>坚持改革创新双轮驱动，推进农村产权制度改革，强化现代种业和科技支撑，着力延伸产业链、打造创新链、完善组织链、优化资金链、强化安全链、提升政府服务链，形成农业现代化主框架，推进农业供给侧结构性改革，提升农业质量效益和竞争力。</w:t>
      </w:r>
    </w:p>
    <w:p>
      <w:pPr>
        <w:ind w:firstLine="640"/>
        <w:rPr>
          <w:szCs w:val="32"/>
          <w:highlight w:val="none"/>
        </w:rPr>
      </w:pPr>
      <w:r>
        <w:rPr>
          <w:rFonts w:eastAsia="方正楷体_GBK"/>
          <w:bCs/>
          <w:szCs w:val="32"/>
          <w:highlight w:val="none"/>
        </w:rPr>
        <w:t>坚持协调发展，加快三产融合。</w:t>
      </w:r>
      <w:r>
        <w:rPr>
          <w:szCs w:val="32"/>
          <w:highlight w:val="none"/>
        </w:rPr>
        <w:t>充分发挥市场在资源配置中的决定性作用，激活资源要素，培育多元化农村市场主体，激发农村发展活力。坚持以种养为基础、加工为纽带、商贸物流为支撑，强化全产业链开发，挖掘农业生态、旅游、文化等多重功能价值，推进一二三产深度融合，提升农业发展整体效益。</w:t>
      </w:r>
    </w:p>
    <w:p>
      <w:pPr>
        <w:ind w:firstLine="640"/>
        <w:rPr>
          <w:highlight w:val="none"/>
        </w:rPr>
      </w:pPr>
      <w:r>
        <w:rPr>
          <w:rFonts w:eastAsia="方正楷体_GBK"/>
          <w:bCs/>
          <w:szCs w:val="32"/>
          <w:highlight w:val="none"/>
        </w:rPr>
        <w:t>坚持绿色发展，加强生态保护。</w:t>
      </w:r>
      <w:r>
        <w:rPr>
          <w:bCs/>
          <w:szCs w:val="32"/>
          <w:highlight w:val="none"/>
        </w:rPr>
        <w:t>践行绿水青山就是金山银山理念，坚持生态自觉、尊重自然、顺应自然、保护自然、节约资源，促进生产生活生态协调发展，走出一条生产发展、生活富裕、生态良好的文明发展道路。推进农业投入品减量化、生产清洁化、废弃物资源化、产业模式生态化，促进农业农村发展与生态环境保护协调统一。</w:t>
      </w:r>
    </w:p>
    <w:p>
      <w:pPr>
        <w:ind w:firstLine="640"/>
        <w:rPr>
          <w:bCs/>
          <w:szCs w:val="32"/>
          <w:highlight w:val="none"/>
        </w:rPr>
      </w:pPr>
      <w:r>
        <w:rPr>
          <w:rFonts w:eastAsia="方正楷体_GBK"/>
          <w:bCs/>
          <w:szCs w:val="32"/>
          <w:highlight w:val="none"/>
        </w:rPr>
        <w:t>坚持开放发展，推进区域协同。</w:t>
      </w:r>
      <w:r>
        <w:rPr>
          <w:bCs/>
          <w:szCs w:val="32"/>
          <w:highlight w:val="none"/>
        </w:rPr>
        <w:t>抢抓加快建设成渝地区双城经济圈重大</w:t>
      </w:r>
      <w:r>
        <w:rPr>
          <w:rFonts w:hint="eastAsia"/>
          <w:bCs/>
          <w:szCs w:val="32"/>
          <w:highlight w:val="none"/>
        </w:rPr>
        <w:t>机遇</w:t>
      </w:r>
      <w:r>
        <w:rPr>
          <w:bCs/>
          <w:szCs w:val="32"/>
          <w:highlight w:val="none"/>
        </w:rPr>
        <w:t>，牢固树立一体化发展理念，坚持优势互补、错位发展，多极发力、协同发展，推动制度对接、资源共享、政策协同，立足</w:t>
      </w:r>
      <w:r>
        <w:rPr>
          <w:rFonts w:hint="eastAsia"/>
          <w:bCs/>
          <w:szCs w:val="32"/>
          <w:highlight w:val="none"/>
        </w:rPr>
        <w:t>资源禀赋</w:t>
      </w:r>
      <w:r>
        <w:rPr>
          <w:bCs/>
          <w:szCs w:val="32"/>
          <w:highlight w:val="none"/>
        </w:rPr>
        <w:t>，联手打造</w:t>
      </w:r>
      <w:r>
        <w:rPr>
          <w:rFonts w:hint="eastAsia"/>
          <w:bCs/>
          <w:szCs w:val="32"/>
          <w:highlight w:val="none"/>
        </w:rPr>
        <w:t>万达开现代农业协同发展示范区、美丽宜居乡村示范带、川渝乡村振兴示样板区</w:t>
      </w:r>
      <w:r>
        <w:rPr>
          <w:bCs/>
          <w:szCs w:val="32"/>
          <w:highlight w:val="none"/>
        </w:rPr>
        <w:t>。</w:t>
      </w:r>
    </w:p>
    <w:p>
      <w:pPr>
        <w:ind w:firstLine="640"/>
        <w:rPr>
          <w:bCs/>
          <w:spacing w:val="-6"/>
          <w:szCs w:val="32"/>
          <w:highlight w:val="none"/>
        </w:rPr>
      </w:pPr>
      <w:r>
        <w:rPr>
          <w:rFonts w:eastAsia="方正楷体_GBK"/>
          <w:bCs/>
          <w:szCs w:val="32"/>
          <w:highlight w:val="none"/>
        </w:rPr>
        <w:t>坚持共享发展，促进城乡融合。</w:t>
      </w:r>
      <w:r>
        <w:rPr>
          <w:bCs/>
          <w:szCs w:val="32"/>
          <w:highlight w:val="none"/>
        </w:rPr>
        <w:t>发展县域经济，把产业链的主体留在县域内，把就业创业机会和产业链增值收益更多留给农民。加快培育高素质农民和新型经营主体，促进农村就业创业，进一步缩小城乡收入差距。</w:t>
      </w:r>
      <w:r>
        <w:rPr>
          <w:szCs w:val="32"/>
          <w:highlight w:val="none"/>
        </w:rPr>
        <w:t>健全城乡融合发展体制机制，推动城乡要素平等交换、自由流动。</w:t>
      </w:r>
      <w:r>
        <w:rPr>
          <w:bCs/>
          <w:szCs w:val="32"/>
          <w:highlight w:val="none"/>
        </w:rPr>
        <w:t>完善农村社会保障制度，推动城镇</w:t>
      </w:r>
      <w:r>
        <w:rPr>
          <w:bCs/>
          <w:spacing w:val="-6"/>
          <w:szCs w:val="32"/>
          <w:highlight w:val="none"/>
        </w:rPr>
        <w:t>公共服务向农村延伸，实现基本公共服务均等化和基础设施一体化。</w:t>
      </w:r>
    </w:p>
    <w:p>
      <w:pPr>
        <w:ind w:firstLine="0" w:firstLineChars="0"/>
        <w:jc w:val="center"/>
        <w:outlineLvl w:val="1"/>
        <w:rPr>
          <w:rFonts w:eastAsia="方正黑体_GBK"/>
          <w:bCs/>
          <w:szCs w:val="32"/>
          <w:highlight w:val="none"/>
        </w:rPr>
      </w:pPr>
      <w:bookmarkStart w:id="62" w:name="_Toc73979842"/>
      <w:bookmarkStart w:id="63" w:name="_Toc72746626"/>
      <w:r>
        <w:rPr>
          <w:rFonts w:eastAsia="方正黑体_GBK"/>
          <w:bCs/>
          <w:szCs w:val="32"/>
          <w:highlight w:val="none"/>
        </w:rPr>
        <w:t>第五章  发展目标</w:t>
      </w:r>
      <w:bookmarkEnd w:id="62"/>
      <w:bookmarkEnd w:id="63"/>
      <w:bookmarkStart w:id="64" w:name="_Toc59612826"/>
      <w:bookmarkStart w:id="65" w:name="_Toc61422563"/>
    </w:p>
    <w:p>
      <w:pPr>
        <w:ind w:firstLine="640"/>
        <w:rPr>
          <w:bCs/>
          <w:szCs w:val="32"/>
          <w:highlight w:val="none"/>
        </w:rPr>
      </w:pPr>
      <w:r>
        <w:rPr>
          <w:bCs/>
          <w:szCs w:val="32"/>
          <w:highlight w:val="none"/>
        </w:rPr>
        <w:t>到2025年，</w:t>
      </w:r>
      <w:r>
        <w:rPr>
          <w:szCs w:val="32"/>
          <w:highlight w:val="none"/>
        </w:rPr>
        <w:t>农业基础更加稳固，乡村振兴全面推进，农村生产生活条件显著改善，</w:t>
      </w:r>
      <w:r>
        <w:rPr>
          <w:bCs/>
          <w:szCs w:val="32"/>
          <w:highlight w:val="none"/>
        </w:rPr>
        <w:t>农民生活水平和质量大幅提升，实现巩固拓展脱贫攻坚成果同乡村振兴有效衔接，力争实现</w:t>
      </w:r>
      <w:r>
        <w:rPr>
          <w:rFonts w:hint="eastAsia"/>
          <w:bCs/>
          <w:szCs w:val="32"/>
          <w:highlight w:val="none"/>
        </w:rPr>
        <w:t>“</w:t>
      </w:r>
      <w:r>
        <w:rPr>
          <w:bCs/>
          <w:szCs w:val="32"/>
          <w:highlight w:val="none"/>
        </w:rPr>
        <w:t>达州市农产品加工千亿产业集群、成渝地区现代农业强市、川渝陕结合部乡村振兴示范市、</w:t>
      </w:r>
      <w:r>
        <w:rPr>
          <w:rFonts w:hint="eastAsia"/>
          <w:bCs/>
          <w:szCs w:val="32"/>
          <w:highlight w:val="none"/>
        </w:rPr>
        <w:t>中国西部富硒农产品加工基地”</w:t>
      </w:r>
      <w:r>
        <w:rPr>
          <w:bCs/>
          <w:szCs w:val="32"/>
          <w:highlight w:val="none"/>
        </w:rPr>
        <w:t>四大目标，第一产业增加值达</w:t>
      </w:r>
      <w:r>
        <w:rPr>
          <w:rFonts w:eastAsia="方正楷体_GBK"/>
          <w:kern w:val="0"/>
          <w:sz w:val="28"/>
          <w:szCs w:val="28"/>
          <w:highlight w:val="none"/>
        </w:rPr>
        <w:t>**</w:t>
      </w:r>
      <w:r>
        <w:rPr>
          <w:bCs/>
          <w:szCs w:val="32"/>
          <w:highlight w:val="none"/>
        </w:rPr>
        <w:t>亿元以上，实现农村居民人均可支配收入</w:t>
      </w:r>
      <w:r>
        <w:rPr>
          <w:rFonts w:eastAsia="方正楷体_GBK"/>
          <w:kern w:val="0"/>
          <w:sz w:val="28"/>
          <w:szCs w:val="28"/>
          <w:highlight w:val="none"/>
        </w:rPr>
        <w:t>**</w:t>
      </w:r>
      <w:r>
        <w:rPr>
          <w:bCs/>
          <w:szCs w:val="32"/>
          <w:highlight w:val="none"/>
        </w:rPr>
        <w:t>元左右。</w:t>
      </w:r>
    </w:p>
    <w:bookmarkEnd w:id="64"/>
    <w:bookmarkEnd w:id="65"/>
    <w:p>
      <w:pPr>
        <w:ind w:firstLine="640"/>
        <w:rPr>
          <w:b/>
          <w:szCs w:val="32"/>
          <w:highlight w:val="none"/>
        </w:rPr>
      </w:pPr>
      <w:r>
        <w:rPr>
          <w:rFonts w:eastAsia="方正楷体_GBK"/>
          <w:bCs/>
          <w:szCs w:val="32"/>
          <w:highlight w:val="none"/>
        </w:rPr>
        <w:t>供给保障能力取得新成效。</w:t>
      </w:r>
      <w:r>
        <w:rPr>
          <w:szCs w:val="32"/>
          <w:highlight w:val="none"/>
        </w:rPr>
        <w:t>继续巩固粮食生产大市地位，粮食综合生产能力持续提升，粮食播种面积稳定在</w:t>
      </w:r>
      <w:r>
        <w:rPr>
          <w:rFonts w:eastAsia="方正楷体_GBK"/>
          <w:kern w:val="0"/>
          <w:sz w:val="28"/>
          <w:szCs w:val="28"/>
          <w:highlight w:val="none"/>
        </w:rPr>
        <w:t>**</w:t>
      </w:r>
      <w:r>
        <w:rPr>
          <w:szCs w:val="32"/>
          <w:highlight w:val="none"/>
        </w:rPr>
        <w:t>万亩以上、产量稳定在</w:t>
      </w:r>
      <w:r>
        <w:rPr>
          <w:rFonts w:eastAsia="方正楷体_GBK"/>
          <w:kern w:val="0"/>
          <w:sz w:val="28"/>
          <w:szCs w:val="28"/>
          <w:highlight w:val="none"/>
        </w:rPr>
        <w:t>**</w:t>
      </w:r>
      <w:r>
        <w:rPr>
          <w:szCs w:val="32"/>
          <w:highlight w:val="none"/>
        </w:rPr>
        <w:t>万吨以上。肉蛋奶、蔬菜等“菜篮子”产品供应保障有力，生猪年出栏量稳定在</w:t>
      </w:r>
      <w:r>
        <w:rPr>
          <w:rFonts w:eastAsia="方正楷体_GBK"/>
          <w:kern w:val="0"/>
          <w:sz w:val="28"/>
          <w:szCs w:val="28"/>
          <w:highlight w:val="none"/>
        </w:rPr>
        <w:t>**</w:t>
      </w:r>
      <w:r>
        <w:rPr>
          <w:szCs w:val="32"/>
          <w:highlight w:val="none"/>
        </w:rPr>
        <w:t>万头以上。特色农产品供给能力明显增强，农产品质量安全和食品安全水平进一步提高。</w:t>
      </w:r>
    </w:p>
    <w:p>
      <w:pPr>
        <w:ind w:firstLine="640"/>
        <w:rPr>
          <w:szCs w:val="32"/>
          <w:highlight w:val="none"/>
        </w:rPr>
      </w:pPr>
      <w:r>
        <w:rPr>
          <w:rFonts w:eastAsia="方正楷体_GBK"/>
          <w:bCs/>
          <w:szCs w:val="32"/>
          <w:highlight w:val="none"/>
        </w:rPr>
        <w:t>农业现代化水平迈上新台阶。</w:t>
      </w:r>
      <w:r>
        <w:rPr>
          <w:bCs/>
          <w:szCs w:val="32"/>
          <w:highlight w:val="none"/>
        </w:rPr>
        <w:t>现代</w:t>
      </w:r>
      <w:r>
        <w:rPr>
          <w:szCs w:val="32"/>
          <w:highlight w:val="none"/>
        </w:rPr>
        <w:t>农业</w:t>
      </w:r>
      <w:r>
        <w:rPr>
          <w:bCs/>
          <w:szCs w:val="32"/>
          <w:highlight w:val="none"/>
        </w:rPr>
        <w:t>“9+3”</w:t>
      </w:r>
      <w:r>
        <w:rPr>
          <w:szCs w:val="32"/>
          <w:highlight w:val="none"/>
        </w:rPr>
        <w:t>产业体系基本形成，构建起符合达州实际的现代农业园区梯次发展体系，带动小农户进入现代农业发展轨道，形成乡村产业融合发展新态势。农业基础设施现代化迈上新台阶。现代农业种业、农业装备、烘干冷链物流支撑保障水平显著增强。农业科技创新水平显著提升。</w:t>
      </w:r>
    </w:p>
    <w:p>
      <w:pPr>
        <w:ind w:firstLine="640"/>
        <w:rPr>
          <w:b/>
          <w:szCs w:val="32"/>
          <w:highlight w:val="none"/>
        </w:rPr>
      </w:pPr>
      <w:r>
        <w:rPr>
          <w:rFonts w:eastAsia="方正楷体_GBK"/>
          <w:bCs/>
          <w:szCs w:val="32"/>
          <w:highlight w:val="none"/>
        </w:rPr>
        <w:t>宜居乡村建设展现新作为。</w:t>
      </w:r>
      <w:r>
        <w:rPr>
          <w:bCs/>
          <w:szCs w:val="32"/>
          <w:highlight w:val="none"/>
        </w:rPr>
        <w:t>乡村规划布局进一步优化，农村生活设施便利化初步实现，乡村面貌显著提升。农村人居环境明显</w:t>
      </w:r>
      <w:r>
        <w:rPr>
          <w:rFonts w:hint="eastAsia"/>
          <w:bCs/>
          <w:szCs w:val="32"/>
          <w:highlight w:val="none"/>
        </w:rPr>
        <w:t>改善</w:t>
      </w:r>
      <w:r>
        <w:rPr>
          <w:bCs/>
          <w:szCs w:val="32"/>
          <w:highlight w:val="none"/>
        </w:rPr>
        <w:t>，农村面源污染得到有效治理，农村生产生活方式绿色转型取得积极进展。现代乡村治理体系基本建立，乡村文明程度</w:t>
      </w:r>
      <w:r>
        <w:rPr>
          <w:rFonts w:hint="eastAsia"/>
          <w:bCs/>
          <w:szCs w:val="32"/>
          <w:highlight w:val="none"/>
        </w:rPr>
        <w:t>进一步</w:t>
      </w:r>
      <w:r>
        <w:rPr>
          <w:bCs/>
          <w:szCs w:val="32"/>
          <w:highlight w:val="none"/>
        </w:rPr>
        <w:t>提升，农村发展安全保障更加有力。</w:t>
      </w:r>
    </w:p>
    <w:p>
      <w:pPr>
        <w:ind w:firstLine="640"/>
        <w:rPr>
          <w:bCs/>
          <w:szCs w:val="32"/>
          <w:highlight w:val="none"/>
        </w:rPr>
      </w:pPr>
      <w:r>
        <w:rPr>
          <w:rFonts w:eastAsia="方正楷体_GBK"/>
          <w:bCs/>
          <w:szCs w:val="32"/>
          <w:highlight w:val="none"/>
        </w:rPr>
        <w:t>增进民生福祉实现新突破。</w:t>
      </w:r>
      <w:r>
        <w:rPr>
          <w:szCs w:val="32"/>
          <w:highlight w:val="none"/>
        </w:rPr>
        <w:t>农村改革深入推进，</w:t>
      </w:r>
      <w:r>
        <w:rPr>
          <w:bCs/>
          <w:szCs w:val="32"/>
          <w:highlight w:val="none"/>
        </w:rPr>
        <w:t>高素质农民培养制度逐步健全，农民队伍素质明显提升。农村创新创业平台蓬勃发展，乡村发展活力充分激发。稳定可持续的脱贫机制逐步健全，脱贫攻坚政策体系和工作机制同乡村振兴有机衔接，脱贫地区经济活力和发展后劲儿明显增强。教育</w:t>
      </w:r>
      <w:r>
        <w:rPr>
          <w:rFonts w:hint="eastAsia"/>
          <w:bCs/>
          <w:szCs w:val="32"/>
          <w:highlight w:val="none"/>
        </w:rPr>
        <w:t>、</w:t>
      </w:r>
      <w:r>
        <w:rPr>
          <w:bCs/>
          <w:szCs w:val="32"/>
          <w:highlight w:val="none"/>
        </w:rPr>
        <w:t>医疗</w:t>
      </w:r>
      <w:r>
        <w:rPr>
          <w:rFonts w:hint="eastAsia"/>
          <w:bCs/>
          <w:szCs w:val="32"/>
          <w:highlight w:val="none"/>
        </w:rPr>
        <w:t>、</w:t>
      </w:r>
      <w:r>
        <w:rPr>
          <w:bCs/>
          <w:szCs w:val="32"/>
          <w:highlight w:val="none"/>
        </w:rPr>
        <w:t>卫生等公共服务体系建设水平明显提高，农民</w:t>
      </w:r>
      <w:r>
        <w:rPr>
          <w:highlight w:val="none"/>
        </w:rPr>
        <w:t>幸福感获得感</w:t>
      </w:r>
      <w:r>
        <w:rPr>
          <w:bCs/>
          <w:szCs w:val="32"/>
          <w:highlight w:val="none"/>
        </w:rPr>
        <w:t>明显增强。</w:t>
      </w:r>
    </w:p>
    <w:p>
      <w:pPr>
        <w:ind w:firstLine="640"/>
        <w:rPr>
          <w:bCs/>
          <w:szCs w:val="32"/>
          <w:highlight w:val="none"/>
        </w:rPr>
      </w:pPr>
      <w:r>
        <w:rPr>
          <w:rFonts w:eastAsia="方正楷体_GBK"/>
          <w:bCs/>
          <w:szCs w:val="32"/>
          <w:highlight w:val="none"/>
        </w:rPr>
        <w:t>城乡融合水平达到新高度。</w:t>
      </w:r>
      <w:r>
        <w:rPr>
          <w:bCs/>
          <w:szCs w:val="32"/>
          <w:highlight w:val="none"/>
        </w:rPr>
        <w:t>城乡融合发展体制机制不断完善，城乡要素双向流动通道更加畅通。基础设施互联互通、公共服务设施共建共享、生态环境联防联动联治、创新资源高效配置的机制逐步完善，区域发展不充分不协调问题明显改善。城乡基本公共服务均等化水平进一步提升，城乡发展差距和居民生活水平差距显著缩小，城乡居民收入比小于</w:t>
      </w:r>
      <w:r>
        <w:rPr>
          <w:rFonts w:eastAsia="方正楷体_GBK"/>
          <w:kern w:val="0"/>
          <w:sz w:val="28"/>
          <w:szCs w:val="28"/>
          <w:highlight w:val="none"/>
        </w:rPr>
        <w:t>**</w:t>
      </w:r>
      <w:r>
        <w:rPr>
          <w:bCs/>
          <w:szCs w:val="32"/>
          <w:highlight w:val="none"/>
        </w:rPr>
        <w:t>。</w:t>
      </w:r>
    </w:p>
    <w:p>
      <w:pPr>
        <w:ind w:firstLine="640"/>
        <w:rPr>
          <w:bCs/>
          <w:szCs w:val="32"/>
          <w:highlight w:val="none"/>
        </w:rPr>
      </w:pPr>
      <w:r>
        <w:rPr>
          <w:highlight w:val="none"/>
        </w:rPr>
        <w:t>到2035年，乡村振兴取得决定性进展，基本实现农业农村现代化。</w:t>
      </w:r>
      <w:r>
        <w:rPr>
          <w:rFonts w:eastAsia="方正楷体_GBK"/>
          <w:bCs/>
          <w:szCs w:val="32"/>
          <w:highlight w:val="none"/>
        </w:rPr>
        <w:t>农业高质高效。</w:t>
      </w:r>
      <w:r>
        <w:rPr>
          <w:highlight w:val="none"/>
        </w:rPr>
        <w:t>粮食等重要农产品供给保障水平再上新台阶，农业基础设施建设与农业现代化发展相匹配，农业产业链现代化水平显著提升，专业化社会化服务体系更加健全，</w:t>
      </w:r>
      <w:r>
        <w:rPr>
          <w:bCs/>
          <w:szCs w:val="32"/>
          <w:highlight w:val="none"/>
        </w:rPr>
        <w:t>现代农业种业、农业装备和烘干冷链物流等支撑能力实现新突破，农业设施化、机械化、绿色化、数字化、融合化水平大幅提升。</w:t>
      </w:r>
      <w:r>
        <w:rPr>
          <w:rFonts w:eastAsia="方正楷体_GBK"/>
          <w:bCs/>
          <w:szCs w:val="32"/>
          <w:highlight w:val="none"/>
        </w:rPr>
        <w:t>乡村宜居宜业</w:t>
      </w:r>
      <w:r>
        <w:rPr>
          <w:szCs w:val="32"/>
          <w:highlight w:val="none"/>
        </w:rPr>
        <w:t>。</w:t>
      </w:r>
      <w:r>
        <w:rPr>
          <w:highlight w:val="none"/>
        </w:rPr>
        <w:t>农村绿色生产生活方式广泛形成，农村生产生活条件根本好转，</w:t>
      </w:r>
      <w:r>
        <w:rPr>
          <w:bCs/>
          <w:szCs w:val="32"/>
          <w:highlight w:val="none"/>
        </w:rPr>
        <w:t>基本公共服务实现均等化，城乡融合发展体制机制更加完善，城乡区域发展更加均衡，现代</w:t>
      </w:r>
      <w:r>
        <w:rPr>
          <w:highlight w:val="none"/>
        </w:rPr>
        <w:t>乡村治理体系更加健全。</w:t>
      </w:r>
      <w:r>
        <w:rPr>
          <w:rFonts w:eastAsia="方正楷体_GBK"/>
          <w:bCs/>
          <w:szCs w:val="32"/>
          <w:highlight w:val="none"/>
        </w:rPr>
        <w:t>农民富裕富足</w:t>
      </w:r>
      <w:r>
        <w:rPr>
          <w:szCs w:val="32"/>
          <w:highlight w:val="none"/>
        </w:rPr>
        <w:t>。</w:t>
      </w:r>
      <w:r>
        <w:rPr>
          <w:highlight w:val="none"/>
        </w:rPr>
        <w:t>农民素质和乡村文明达到新高度</w:t>
      </w:r>
      <w:r>
        <w:rPr>
          <w:bCs/>
          <w:szCs w:val="32"/>
          <w:highlight w:val="none"/>
        </w:rPr>
        <w:t>，</w:t>
      </w:r>
      <w:r>
        <w:rPr>
          <w:highlight w:val="none"/>
        </w:rPr>
        <w:t>农村居民人均可支配收入迈上新台阶，</w:t>
      </w:r>
      <w:r>
        <w:rPr>
          <w:bCs/>
          <w:szCs w:val="32"/>
          <w:highlight w:val="none"/>
        </w:rPr>
        <w:t>农民</w:t>
      </w:r>
      <w:r>
        <w:rPr>
          <w:highlight w:val="none"/>
        </w:rPr>
        <w:t>幸福感获得感</w:t>
      </w:r>
      <w:r>
        <w:rPr>
          <w:bCs/>
          <w:szCs w:val="32"/>
          <w:highlight w:val="none"/>
        </w:rPr>
        <w:t>安全感更加充实、更有保障、更可持续。</w:t>
      </w:r>
    </w:p>
    <w:p>
      <w:pPr>
        <w:pStyle w:val="3"/>
        <w:spacing w:line="620" w:lineRule="exact"/>
        <w:rPr>
          <w:highlight w:val="none"/>
        </w:rPr>
      </w:pPr>
      <w:bookmarkStart w:id="66" w:name="_Toc73979843"/>
      <w:bookmarkStart w:id="67" w:name="_Toc72746629"/>
    </w:p>
    <w:p>
      <w:pPr>
        <w:pStyle w:val="3"/>
        <w:spacing w:line="620" w:lineRule="exact"/>
        <w:rPr>
          <w:highlight w:val="none"/>
        </w:rPr>
      </w:pPr>
    </w:p>
    <w:p>
      <w:pPr>
        <w:pStyle w:val="3"/>
        <w:spacing w:line="620" w:lineRule="exact"/>
        <w:rPr>
          <w:highlight w:val="none"/>
        </w:rPr>
      </w:pPr>
    </w:p>
    <w:p>
      <w:pPr>
        <w:pStyle w:val="3"/>
        <w:spacing w:line="620" w:lineRule="exact"/>
        <w:rPr>
          <w:highlight w:val="none"/>
        </w:rPr>
      </w:pPr>
    </w:p>
    <w:p>
      <w:pPr>
        <w:pStyle w:val="3"/>
        <w:spacing w:line="620" w:lineRule="exact"/>
        <w:rPr>
          <w:highlight w:val="none"/>
        </w:rPr>
      </w:pPr>
    </w:p>
    <w:p>
      <w:pPr>
        <w:pStyle w:val="3"/>
        <w:spacing w:line="620" w:lineRule="exact"/>
        <w:rPr>
          <w:highlight w:val="none"/>
        </w:rPr>
      </w:pPr>
    </w:p>
    <w:p>
      <w:pPr>
        <w:pStyle w:val="3"/>
        <w:spacing w:line="620" w:lineRule="exact"/>
        <w:rPr>
          <w:highlight w:val="none"/>
        </w:rPr>
      </w:pPr>
    </w:p>
    <w:p>
      <w:pPr>
        <w:pStyle w:val="3"/>
        <w:spacing w:line="620" w:lineRule="exact"/>
        <w:rPr>
          <w:highlight w:val="none"/>
        </w:rPr>
      </w:pPr>
      <w:r>
        <w:rPr>
          <w:highlight w:val="none"/>
        </w:rPr>
        <w:t>第二篇  强农兴农  全面实施农业现代化</w:t>
      </w:r>
      <w:bookmarkEnd w:id="66"/>
      <w:bookmarkEnd w:id="67"/>
    </w:p>
    <w:p>
      <w:pPr>
        <w:ind w:firstLine="640"/>
        <w:rPr>
          <w:szCs w:val="32"/>
          <w:highlight w:val="none"/>
        </w:rPr>
      </w:pPr>
      <w:r>
        <w:rPr>
          <w:szCs w:val="32"/>
          <w:highlight w:val="none"/>
        </w:rPr>
        <w:t>坚持以农业供给侧结构性改革为主线，着力优化农业产业布局，以延链、补链、壮链、优链为重点，加快构建现代农业“9+3”产业体系，打造一批创新能力强、产业链条全、绿色底色足、安全可控制、联农带农紧的农业全产业链，促进全环节提升、全链条增值、全产业融合，增强农业发展质量效益和核心竞争力，为乡村全面振兴提供产业支撑。</w:t>
      </w:r>
    </w:p>
    <w:p>
      <w:pPr>
        <w:ind w:firstLine="0" w:firstLineChars="0"/>
        <w:jc w:val="center"/>
        <w:outlineLvl w:val="1"/>
        <w:rPr>
          <w:rFonts w:eastAsia="方正黑体_GBK"/>
          <w:bCs/>
          <w:szCs w:val="32"/>
          <w:highlight w:val="none"/>
        </w:rPr>
      </w:pPr>
      <w:bookmarkStart w:id="68" w:name="_Toc73979844"/>
      <w:bookmarkStart w:id="69" w:name="_Toc72746630"/>
      <w:r>
        <w:rPr>
          <w:rFonts w:eastAsia="方正黑体_GBK"/>
          <w:bCs/>
          <w:szCs w:val="32"/>
          <w:highlight w:val="none"/>
        </w:rPr>
        <w:t>第一章  优化农业产业布局  推进农业结构战略调整</w:t>
      </w:r>
      <w:bookmarkEnd w:id="68"/>
      <w:bookmarkEnd w:id="69"/>
    </w:p>
    <w:p>
      <w:pPr>
        <w:ind w:firstLine="640"/>
        <w:rPr>
          <w:szCs w:val="32"/>
          <w:highlight w:val="none"/>
        </w:rPr>
      </w:pPr>
      <w:r>
        <w:rPr>
          <w:szCs w:val="32"/>
          <w:highlight w:val="none"/>
        </w:rPr>
        <w:t>立足资源禀赋、地理环境与区位优势，紧密衔接全市国土空间规划，全面对接成渝地区双城经济圈和万达开川渝统筹发展示范区建设，按照“统筹协调发展、产业布局合理、区域特色明显、资源环境匹配”的基本原则，突出片区发展重点，优化农业生产空间，推进农业优势互补、错位协同、转型升级、提质增效。</w:t>
      </w:r>
    </w:p>
    <w:p>
      <w:pPr>
        <w:ind w:firstLine="640"/>
        <w:rPr>
          <w:highlight w:val="none"/>
        </w:rPr>
      </w:pPr>
      <w:r>
        <w:rPr>
          <w:rFonts w:eastAsia="方正楷体_GBK"/>
          <w:bCs/>
          <w:szCs w:val="32"/>
          <w:highlight w:val="none"/>
        </w:rPr>
        <w:t>——北部生态农业产业区。</w:t>
      </w:r>
      <w:r>
        <w:rPr>
          <w:highlight w:val="none"/>
        </w:rPr>
        <w:t>包括万源市全域和宣汉县北部。重点突出生态屏障功能，在严控污染物排放、抓好水资源和森林资源保护的基础上，充分发挥地区特色品种资源优势，大力发展高山蔬菜、富硒茶、中药材及中蜂等生态农业，培育发展生态有机农畜产品及精深加工产业，积极拓展农业生态旅游，实现农业产业发展与生态文明建设同步推进。</w:t>
      </w:r>
    </w:p>
    <w:p>
      <w:pPr>
        <w:ind w:firstLine="640"/>
        <w:rPr>
          <w:highlight w:val="none"/>
        </w:rPr>
      </w:pPr>
      <w:r>
        <w:rPr>
          <w:rFonts w:eastAsia="方正楷体_GBK"/>
          <w:bCs/>
          <w:szCs w:val="32"/>
          <w:highlight w:val="none"/>
        </w:rPr>
        <w:t>——中部都市休闲农业区。</w:t>
      </w:r>
      <w:r>
        <w:rPr>
          <w:highlight w:val="none"/>
        </w:rPr>
        <w:t>包括通川区、达川区、开江县全域和宣汉县中南部。在充分保障优质粮油、生猪等保供产业转型发展的基础上，利用区位优势、丰富的农旅资源和良好农业基础，建立现代农业和乡村旅游相结合的产业体系，大力发展以花卉、果蔬等为重点的休闲农业、高效农业，充分延伸农业产业链，以旅促农，以农强旅，打造农旅深度融合产业片区。</w:t>
      </w:r>
    </w:p>
    <w:p>
      <w:pPr>
        <w:ind w:firstLine="640"/>
        <w:rPr>
          <w:highlight w:val="none"/>
        </w:rPr>
      </w:pPr>
      <w:r>
        <w:rPr>
          <w:rFonts w:eastAsia="方正楷体_GBK"/>
          <w:bCs/>
          <w:szCs w:val="32"/>
          <w:highlight w:val="none"/>
        </w:rPr>
        <w:t>——南部现代绿色农业区。</w:t>
      </w:r>
      <w:r>
        <w:rPr>
          <w:highlight w:val="none"/>
        </w:rPr>
        <w:t>包括渠县和大竹县全域。充分挖掘区域农业潜力，</w:t>
      </w:r>
      <w:r>
        <w:rPr>
          <w:color w:val="191919"/>
          <w:highlight w:val="none"/>
          <w:shd w:val="clear" w:color="auto" w:fill="FFFFFF"/>
        </w:rPr>
        <w:t>以市场为导向，以科技为支撑，</w:t>
      </w:r>
      <w:r>
        <w:rPr>
          <w:highlight w:val="none"/>
        </w:rPr>
        <w:t>强化农业园区建设、龙头企业培育和农产品品牌打造，全力做强粮油、生猪、苎麻、黄花、竹、香椿、水产等优势产业，推进产业规模化、标准化、绿色化、集约化发展，积极创新农业高质量发展新模式、新业态、新路径，持续提升区域农业现代化发展水平。</w:t>
      </w:r>
    </w:p>
    <w:p>
      <w:pPr>
        <w:spacing w:line="240" w:lineRule="auto"/>
        <w:ind w:firstLine="0" w:firstLineChars="0"/>
        <w:jc w:val="center"/>
        <w:rPr>
          <w:sz w:val="28"/>
          <w:szCs w:val="22"/>
          <w:highlight w:val="none"/>
        </w:rPr>
      </w:pPr>
      <w:r>
        <w:rPr>
          <w:sz w:val="28"/>
          <w:szCs w:val="22"/>
          <w:highlight w:val="none"/>
        </w:rPr>
        <w:drawing>
          <wp:inline distT="0" distB="0" distL="0" distR="0">
            <wp:extent cx="5426710" cy="7362190"/>
            <wp:effectExtent l="0" t="0" r="2540" b="1016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4">
                      <a:extLst>
                        <a:ext uri="{28A0092B-C50C-407E-A947-70E740481C1C}">
                          <a14:useLocalDpi xmlns:a14="http://schemas.microsoft.com/office/drawing/2010/main" val="false"/>
                        </a:ext>
                      </a:extLst>
                    </a:blip>
                    <a:srcRect l="1691" t="10799" r="1691" b="3402"/>
                    <a:stretch>
                      <a:fillRect/>
                    </a:stretch>
                  </pic:blipFill>
                  <pic:spPr>
                    <a:xfrm>
                      <a:off x="0" y="0"/>
                      <a:ext cx="5425973" cy="7361275"/>
                    </a:xfrm>
                    <a:prstGeom prst="rect">
                      <a:avLst/>
                    </a:prstGeom>
                    <a:ln>
                      <a:noFill/>
                    </a:ln>
                  </pic:spPr>
                </pic:pic>
              </a:graphicData>
            </a:graphic>
          </wp:inline>
        </w:drawing>
      </w:r>
    </w:p>
    <w:p>
      <w:pPr>
        <w:ind w:firstLine="0" w:firstLineChars="0"/>
        <w:jc w:val="center"/>
        <w:rPr>
          <w:rFonts w:eastAsia="方正黑体_GBK"/>
          <w:bCs/>
          <w:szCs w:val="32"/>
          <w:highlight w:val="none"/>
        </w:rPr>
      </w:pPr>
      <w:r>
        <w:rPr>
          <w:rFonts w:eastAsia="方正黑体_GBK"/>
          <w:bCs/>
          <w:szCs w:val="32"/>
          <w:highlight w:val="none"/>
        </w:rPr>
        <w:t>图1  达州市“十四五”农业产业空间布局图</w:t>
      </w:r>
    </w:p>
    <w:p>
      <w:pPr>
        <w:ind w:firstLine="0" w:firstLineChars="0"/>
        <w:jc w:val="center"/>
        <w:outlineLvl w:val="1"/>
        <w:rPr>
          <w:rFonts w:eastAsia="方正黑体_GBK"/>
          <w:bCs/>
          <w:szCs w:val="32"/>
          <w:highlight w:val="none"/>
        </w:rPr>
      </w:pPr>
      <w:bookmarkStart w:id="70" w:name="_Toc72746631"/>
      <w:bookmarkStart w:id="71" w:name="_Toc73979845"/>
      <w:r>
        <w:rPr>
          <w:rFonts w:eastAsia="方正黑体_GBK"/>
          <w:bCs/>
          <w:szCs w:val="32"/>
          <w:highlight w:val="none"/>
        </w:rPr>
        <w:t>第二章  明确重点发展方向，推进农业产业转型升级</w:t>
      </w:r>
      <w:bookmarkEnd w:id="70"/>
      <w:bookmarkEnd w:id="71"/>
    </w:p>
    <w:p>
      <w:pPr>
        <w:pStyle w:val="5"/>
        <w:rPr>
          <w:rFonts w:ascii="Times New Roman"/>
          <w:highlight w:val="none"/>
        </w:rPr>
      </w:pPr>
      <w:bookmarkStart w:id="72" w:name="_Toc72746632"/>
      <w:bookmarkStart w:id="73" w:name="_Toc73979846"/>
      <w:r>
        <w:rPr>
          <w:rFonts w:ascii="Times New Roman"/>
          <w:highlight w:val="none"/>
        </w:rPr>
        <w:t>第一节  加快建设现代农业园区（现代化示范区）</w:t>
      </w:r>
      <w:bookmarkEnd w:id="72"/>
      <w:bookmarkEnd w:id="73"/>
    </w:p>
    <w:p>
      <w:pPr>
        <w:ind w:firstLine="640"/>
        <w:rPr>
          <w:highlight w:val="none"/>
        </w:rPr>
      </w:pPr>
      <w:r>
        <w:rPr>
          <w:rFonts w:eastAsia="方正楷体_GBK"/>
          <w:bCs/>
          <w:szCs w:val="32"/>
          <w:highlight w:val="none"/>
        </w:rPr>
        <w:t>加快建设现代农业园区</w:t>
      </w:r>
      <w:r>
        <w:rPr>
          <w:highlight w:val="none"/>
        </w:rPr>
        <w:t>。全面落实“园长制”，加强园区规划建设和管理运营，重点围绕达州现代农业“9+3”产业体系，集聚政策、资金、人才等要素，着力在设施装备、农产品加工、仓储保鲜冷链物流、科技支撑等方面补短板、强弱项、增效益，加快打造一批产业特色鲜明、加工水平高、产业链条完善、设施装备先进、品牌影响力大的现代农业园区</w:t>
      </w:r>
      <w:r>
        <w:rPr>
          <w:rFonts w:hint="eastAsia"/>
          <w:highlight w:val="none"/>
        </w:rPr>
        <w:t>。</w:t>
      </w:r>
      <w:r>
        <w:rPr>
          <w:highlight w:val="none"/>
        </w:rPr>
        <w:t>培育认定一批市、县级园区，创建晋升一批省星级园区，积极争创国家现代农业产业园，构建形成国家、省、市、县四级梯次发展体系。</w:t>
      </w:r>
    </w:p>
    <w:p>
      <w:pPr>
        <w:ind w:firstLine="640"/>
        <w:rPr>
          <w:highlight w:val="none"/>
        </w:rPr>
      </w:pPr>
      <w:r>
        <w:rPr>
          <w:rFonts w:eastAsia="方正楷体_GBK"/>
          <w:bCs/>
          <w:szCs w:val="32"/>
          <w:highlight w:val="none"/>
        </w:rPr>
        <w:t>加快创建农业现代化示范区。</w:t>
      </w:r>
      <w:r>
        <w:rPr>
          <w:highlight w:val="none"/>
        </w:rPr>
        <w:t>以县（市、区）为单位分类创建一批农业现代化示范区，推进现代农业设施化、园区化、融合化、数字化、绿色化发展。以稳粮保供为重点，在粮食主产区创建以设施化为主的重要农产品现代化示范区。以特色产业为重点，在产业集中度高、特色鲜明、比较优势突出的地区，创建以园区化、融合化为主的优势特色产业现代化示范区。以都市农业为重点，在达州主城郊区创建以数字化为主的智慧农业现代化示范区。以资源保护、环境友好为重点，在丘陵山区创建以绿色化为主的生态农业现代化示范区。支持国家现代农业示范区、国家现代农业产业园、优势特色产业集群、产业强镇、省级乡村振兴先进县等地区，积极争创国家和省级农业现代化示范区。</w:t>
      </w:r>
    </w:p>
    <w:p>
      <w:pPr>
        <w:ind w:firstLine="0" w:firstLineChars="0"/>
        <w:jc w:val="center"/>
        <w:rPr>
          <w:rFonts w:eastAsia="方正黑体_GBK"/>
          <w:bCs/>
          <w:szCs w:val="32"/>
          <w:highlight w:val="none"/>
        </w:rPr>
      </w:pPr>
    </w:p>
    <w:p>
      <w:pPr>
        <w:ind w:firstLine="0" w:firstLineChars="0"/>
        <w:jc w:val="center"/>
        <w:rPr>
          <w:rFonts w:eastAsia="方正黑体_GBK"/>
          <w:bCs/>
          <w:szCs w:val="32"/>
          <w:highlight w:val="none"/>
        </w:rPr>
      </w:pPr>
      <w:r>
        <w:rPr>
          <w:rFonts w:eastAsia="方正黑体_GBK"/>
          <w:bCs/>
          <w:szCs w:val="32"/>
          <w:highlight w:val="none"/>
        </w:rPr>
        <w:t>专栏1  现代农业园区（现代化示范区）建设重点项目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现代农业园区建设：</w:t>
            </w:r>
            <w:r>
              <w:rPr>
                <w:rFonts w:eastAsia="方正楷体_GBK"/>
                <w:sz w:val="28"/>
                <w:szCs w:val="28"/>
                <w:highlight w:val="none"/>
              </w:rPr>
              <w:t>全面落实“园长制”，重点补齐现代种业、技术装备和冷链物流等短板，重点建设开江稻渔、万源茶叶、渠县粮油、宣汉肉牛、大竹粮油、达川乌梅、通川蓝莓等优势产业现代农业园区，力争到2025年建成国家、省、市、县级现代农业园区</w:t>
            </w:r>
            <w:r>
              <w:rPr>
                <w:rFonts w:eastAsia="方正楷体_GBK"/>
                <w:kern w:val="0"/>
                <w:sz w:val="28"/>
                <w:szCs w:val="28"/>
                <w:highlight w:val="none"/>
              </w:rPr>
              <w:t>**</w:t>
            </w:r>
            <w:r>
              <w:rPr>
                <w:rFonts w:eastAsia="方正楷体_GBK"/>
                <w:sz w:val="28"/>
                <w:szCs w:val="28"/>
                <w:highlight w:val="none"/>
              </w:rPr>
              <w:t>个以上。</w:t>
            </w:r>
          </w:p>
          <w:p>
            <w:pPr>
              <w:spacing w:line="500" w:lineRule="exact"/>
              <w:ind w:firstLine="560"/>
              <w:rPr>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农业现代化示范区建设：</w:t>
            </w:r>
            <w:r>
              <w:rPr>
                <w:rFonts w:eastAsia="方正楷体_GBK"/>
                <w:sz w:val="28"/>
                <w:szCs w:val="28"/>
                <w:highlight w:val="none"/>
              </w:rPr>
              <w:t>支持渠县、大竹县、达川区、开江县创建以设施化为主的重要农产品现代化示范区；支持宣汉县创建优势特色产业现代化示范区；支持通川区创建智慧农业现代化示范区；支持万源市创建生态农业现代化示范区。</w:t>
            </w:r>
          </w:p>
        </w:tc>
      </w:tr>
    </w:tbl>
    <w:p>
      <w:pPr>
        <w:pStyle w:val="5"/>
        <w:rPr>
          <w:rFonts w:ascii="Times New Roman"/>
          <w:highlight w:val="none"/>
        </w:rPr>
      </w:pPr>
      <w:bookmarkStart w:id="74" w:name="_Toc72746633"/>
      <w:bookmarkStart w:id="75" w:name="_Toc73979847"/>
      <w:r>
        <w:rPr>
          <w:rFonts w:ascii="Times New Roman"/>
          <w:highlight w:val="none"/>
        </w:rPr>
        <w:t>第二节  重点发展9大特色优势产业</w:t>
      </w:r>
      <w:bookmarkEnd w:id="74"/>
      <w:bookmarkEnd w:id="75"/>
    </w:p>
    <w:p>
      <w:pPr>
        <w:ind w:firstLine="640"/>
        <w:outlineLvl w:val="3"/>
        <w:rPr>
          <w:rFonts w:eastAsia="方正楷体_GBK"/>
          <w:szCs w:val="32"/>
          <w:highlight w:val="none"/>
        </w:rPr>
      </w:pPr>
      <w:r>
        <w:rPr>
          <w:rFonts w:eastAsia="方正楷体_GBK"/>
          <w:szCs w:val="32"/>
          <w:highlight w:val="none"/>
        </w:rPr>
        <w:t>（一）粮油</w:t>
      </w:r>
    </w:p>
    <w:p>
      <w:pPr>
        <w:ind w:firstLine="624"/>
        <w:rPr>
          <w:spacing w:val="-4"/>
          <w:szCs w:val="32"/>
          <w:highlight w:val="none"/>
        </w:rPr>
      </w:pPr>
      <w:r>
        <w:rPr>
          <w:spacing w:val="-4"/>
          <w:szCs w:val="32"/>
          <w:highlight w:val="none"/>
        </w:rPr>
        <w:t>全面落实党政同责共抓粮食安全政治责任，确保粮食播面和产量只增不减。深入实施“藏粮于地、藏粮于技”战略，以水稻、油菜、玉米、薯类四大产业为重点，开展优质粮食工程和“天府菜油”行动，建设粮油绿色高质高效示范区和“天府菜油”示范基地，建设一批“鱼米之乡”。加大园区建设力度，推进种养循环发展，打造一批产业链条完整、设施装备先进、品牌影响力大、辐射带动力强的现代粮油园区，推进基地景区化，培育新业态，拓展农旅功能，提高综合产值。支持粮食主产县整县推进农业现代化示范区建设，连片建设一批粮食生产功能区。完善和落实粮食补贴，新增粮食补贴向粮食主产县和新型经营主体倾斜。加大新型主体培育力度，重点扶持一批有生产基地的规模经营主体，重点打造东汉醪糟、达州贡米等品牌，积极推广“粮油企业+主体+农户”联结机制，扎实推进粮油“产加销”一体化发展。到2025年，引进培育亿元级产业化龙头企业</w:t>
      </w:r>
      <w:r>
        <w:rPr>
          <w:rFonts w:eastAsia="方正楷体_GBK"/>
          <w:kern w:val="0"/>
          <w:sz w:val="28"/>
          <w:szCs w:val="28"/>
          <w:highlight w:val="none"/>
        </w:rPr>
        <w:t>**</w:t>
      </w:r>
      <w:r>
        <w:rPr>
          <w:spacing w:val="-4"/>
          <w:szCs w:val="32"/>
          <w:highlight w:val="none"/>
        </w:rPr>
        <w:t>家、5亿元以上产业化龙头企业</w:t>
      </w:r>
      <w:r>
        <w:rPr>
          <w:rFonts w:eastAsia="方正楷体_GBK"/>
          <w:kern w:val="0"/>
          <w:sz w:val="28"/>
          <w:szCs w:val="28"/>
          <w:highlight w:val="none"/>
        </w:rPr>
        <w:t>**</w:t>
      </w:r>
      <w:r>
        <w:rPr>
          <w:spacing w:val="-4"/>
          <w:szCs w:val="32"/>
          <w:highlight w:val="none"/>
        </w:rPr>
        <w:t>家。</w:t>
      </w:r>
    </w:p>
    <w:p>
      <w:pPr>
        <w:ind w:firstLine="0" w:firstLineChars="0"/>
        <w:jc w:val="center"/>
        <w:rPr>
          <w:rFonts w:eastAsia="方正黑体_GBK"/>
          <w:bCs/>
          <w:szCs w:val="32"/>
          <w:highlight w:val="none"/>
        </w:rPr>
      </w:pPr>
      <w:r>
        <w:rPr>
          <w:rFonts w:eastAsia="方正黑体_GBK"/>
          <w:bCs/>
          <w:szCs w:val="32"/>
          <w:highlight w:val="none"/>
        </w:rPr>
        <w:t>专栏2  粮油产业发展重点项目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优质粮油基地建设：</w:t>
            </w:r>
            <w:r>
              <w:rPr>
                <w:rFonts w:eastAsia="方正楷体_GBK"/>
                <w:kern w:val="0"/>
                <w:sz w:val="28"/>
                <w:szCs w:val="28"/>
                <w:highlight w:val="none"/>
              </w:rPr>
              <w:t>紧抓国家优质粮油保障基地建设机遇，实施优质粮油基地提升和建设工程。以7个优质稻基地县为重点，到2025年建成“稻香杯”优质米基地面积达</w:t>
            </w:r>
            <w:r>
              <w:rPr>
                <w:rFonts w:eastAsia="方正楷体_GBK"/>
                <w:kern w:val="0"/>
                <w:sz w:val="28"/>
                <w:szCs w:val="28"/>
                <w:highlight w:val="none"/>
              </w:rPr>
              <w:t>**</w:t>
            </w:r>
            <w:r>
              <w:rPr>
                <w:rFonts w:eastAsia="方正楷体_GBK"/>
                <w:kern w:val="0"/>
                <w:sz w:val="28"/>
                <w:szCs w:val="28"/>
                <w:highlight w:val="none"/>
              </w:rPr>
              <w:t>万亩。以6个产油大县为重点，到2025年建成“双低”油菜基地</w:t>
            </w:r>
            <w:r>
              <w:rPr>
                <w:rFonts w:eastAsia="方正楷体_GBK"/>
                <w:kern w:val="0"/>
                <w:sz w:val="28"/>
                <w:szCs w:val="28"/>
                <w:highlight w:val="none"/>
              </w:rPr>
              <w:t>**</w:t>
            </w:r>
            <w:r>
              <w:rPr>
                <w:rFonts w:eastAsia="方正楷体_GBK"/>
                <w:kern w:val="0"/>
                <w:sz w:val="28"/>
                <w:szCs w:val="28"/>
                <w:highlight w:val="none"/>
              </w:rPr>
              <w:t>万亩，建立“天府菜油”稳定订单原料基地</w:t>
            </w:r>
            <w:r>
              <w:rPr>
                <w:rFonts w:eastAsia="方正楷体_GBK"/>
                <w:kern w:val="0"/>
                <w:sz w:val="28"/>
                <w:szCs w:val="28"/>
                <w:highlight w:val="none"/>
              </w:rPr>
              <w:t>**</w:t>
            </w:r>
            <w:r>
              <w:rPr>
                <w:rFonts w:eastAsia="方正楷体_GBK"/>
                <w:kern w:val="0"/>
                <w:sz w:val="28"/>
                <w:szCs w:val="28"/>
                <w:highlight w:val="none"/>
              </w:rPr>
              <w:t>万亩。支持万源市建设富硒水稻—油菜高产轮作示范基地和高山富硒马铃薯高产示范基地，支持宣汉县建设青贮饲料玉米示范基地。</w:t>
            </w:r>
          </w:p>
          <w:p>
            <w:pPr>
              <w:spacing w:line="500" w:lineRule="exact"/>
              <w:ind w:firstLine="560"/>
              <w:jc w:val="left"/>
              <w:rPr>
                <w:b/>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绿色高质高效示范区创建：</w:t>
            </w:r>
            <w:r>
              <w:rPr>
                <w:rFonts w:eastAsia="方正楷体_GBK"/>
                <w:kern w:val="0"/>
                <w:sz w:val="28"/>
                <w:szCs w:val="28"/>
                <w:highlight w:val="none"/>
              </w:rPr>
              <w:t>聚焦水稻、玉米、油菜等优势粮油产业，以现代农业园区为重点，大力推广绿色高效技术，推进宣汉县“玉-豆-芋”轮作休耕籽粒玉米示范基地、渠县稻渔综合种养示范基地等粮油高质高效示范区建设。到2025年建成省级“鱼米之乡”试点示范县</w:t>
            </w:r>
            <w:r>
              <w:rPr>
                <w:rFonts w:eastAsia="方正楷体_GBK"/>
                <w:kern w:val="0"/>
                <w:sz w:val="28"/>
                <w:szCs w:val="28"/>
                <w:highlight w:val="none"/>
              </w:rPr>
              <w:t>**</w:t>
            </w:r>
            <w:r>
              <w:rPr>
                <w:rFonts w:eastAsia="方正楷体_GBK"/>
                <w:kern w:val="0"/>
                <w:sz w:val="28"/>
                <w:szCs w:val="28"/>
                <w:highlight w:val="none"/>
              </w:rPr>
              <w:t>个。</w:t>
            </w:r>
          </w:p>
        </w:tc>
      </w:tr>
    </w:tbl>
    <w:p>
      <w:pPr>
        <w:ind w:firstLine="640"/>
        <w:outlineLvl w:val="3"/>
        <w:rPr>
          <w:rFonts w:eastAsia="方正楷体_GBK"/>
          <w:szCs w:val="32"/>
          <w:highlight w:val="none"/>
        </w:rPr>
      </w:pPr>
      <w:r>
        <w:rPr>
          <w:rFonts w:eastAsia="方正楷体_GBK"/>
          <w:szCs w:val="32"/>
          <w:highlight w:val="none"/>
        </w:rPr>
        <w:t>（二）畜禽</w:t>
      </w:r>
    </w:p>
    <w:p>
      <w:pPr>
        <w:ind w:firstLine="640"/>
        <w:rPr>
          <w:highlight w:val="none"/>
        </w:rPr>
      </w:pPr>
      <w:r>
        <w:rPr>
          <w:highlight w:val="none"/>
        </w:rPr>
        <w:t>根据各地资源禀赋、自然条件，结合现有产业基础，调整优化畜禽生产布局。加快生猪产业转型升级，落实生猪生产扶持政策举措，高标准推进生猪标准化规模养殖，加快推进国家优质商品猪战略保障基地建设。加大招商引资力度，吸引大企业、大集团投资发展生猪产业，支持产业化龙头企业在同一区域内布局全产业链，构建育、繁、养、宰、加、销一体化融合发展新格局。支持发展蜀宣花牛、旧院黑鸡、开江白鹅（麻鸭）、中蜂等特色养殖产业发展。加大产业化龙头企业、养殖合作社、养殖家庭牧场等新型农业经营主体培育力度，创新推广利益联结机制和利益兜底的寄养托养合作生产模式。加强重大疫病防控和技术服务力度，强化屠宰监管，提升质量安全水平。到2025年，生猪年出栏量达到</w:t>
      </w:r>
      <w:r>
        <w:rPr>
          <w:rFonts w:eastAsia="方正楷体_GBK"/>
          <w:kern w:val="0"/>
          <w:sz w:val="28"/>
          <w:szCs w:val="28"/>
          <w:highlight w:val="none"/>
        </w:rPr>
        <w:t>**</w:t>
      </w:r>
      <w:r>
        <w:rPr>
          <w:highlight w:val="none"/>
        </w:rPr>
        <w:t>万头，生猪规模养殖比例达</w:t>
      </w:r>
      <w:r>
        <w:rPr>
          <w:rFonts w:eastAsia="方正楷体_GBK"/>
          <w:kern w:val="0"/>
          <w:sz w:val="28"/>
          <w:szCs w:val="28"/>
          <w:highlight w:val="none"/>
        </w:rPr>
        <w:t>**</w:t>
      </w:r>
      <w:r>
        <w:rPr>
          <w:highlight w:val="none"/>
        </w:rPr>
        <w:t>%以上。</w:t>
      </w:r>
    </w:p>
    <w:p>
      <w:pPr>
        <w:ind w:firstLine="0" w:firstLineChars="0"/>
        <w:jc w:val="center"/>
        <w:rPr>
          <w:rFonts w:eastAsia="方正黑体_GBK"/>
          <w:bCs/>
          <w:szCs w:val="32"/>
          <w:highlight w:val="none"/>
        </w:rPr>
      </w:pPr>
      <w:r>
        <w:rPr>
          <w:rFonts w:eastAsia="方正黑体_GBK"/>
          <w:bCs/>
          <w:szCs w:val="32"/>
          <w:highlight w:val="none"/>
        </w:rPr>
        <w:t>专栏3  畜禽产业发展重点项目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生猪：</w:t>
            </w:r>
            <w:r>
              <w:rPr>
                <w:rFonts w:eastAsia="方正楷体_GBK"/>
                <w:kern w:val="0"/>
                <w:sz w:val="28"/>
                <w:szCs w:val="28"/>
                <w:highlight w:val="none"/>
              </w:rPr>
              <w:t>抢抓国家优质商品猪保障基地建设机遇，以7个生猪基地县为重点，大力发展生猪标准化规模化养殖，推进正邦、德康、东方希望、蓝润、丽天牧业在达生猪养殖项目建设，延伸生猪精深加工链条，打造西南地区中央大厨房和国家重要的生猪生产基地。完成生猪屠宰行业发展规划，创建一批国家级、省级标准化屠宰厂。</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牛羊：</w:t>
            </w:r>
            <w:r>
              <w:rPr>
                <w:rFonts w:eastAsia="方正楷体_GBK"/>
                <w:kern w:val="0"/>
                <w:sz w:val="28"/>
                <w:szCs w:val="28"/>
                <w:highlight w:val="none"/>
              </w:rPr>
              <w:t>以宣汉县、达川区、万源市3个山地肉牛产业集群项目县为重点，积极创建国家级肉牛优良畜种繁育基地。全域推进牛羊规模化产业化养殖，重点推进宣汉县肉牛（蜀宣花牛）现代农业园区、渠县肉牛养殖建设项目、开江生茂源肉牛养殖项目、万源市现代农业发展工程（板角山羊遗传资源保护）项目建设。</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家禽：</w:t>
            </w:r>
            <w:r>
              <w:rPr>
                <w:rFonts w:eastAsia="方正楷体_GBK"/>
                <w:kern w:val="0"/>
                <w:sz w:val="28"/>
                <w:szCs w:val="28"/>
                <w:highlight w:val="none"/>
              </w:rPr>
              <w:t>重点支持万源市旧院黑鸡、大竹蛋鸡、渠县肉鸡、开江麻鸭（白鹅）等特色家禽养殖，推进渠县肉鸡养殖、达川区东方希望饲料养殖、万源市旧院黑鸡育繁推一体化示范和宇多旧院黑鸡产业化联合体项目、开江麻鸭和白鹅养殖等项目建设。</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中蜂：</w:t>
            </w:r>
            <w:r>
              <w:rPr>
                <w:rFonts w:eastAsia="方正楷体_GBK"/>
                <w:kern w:val="0"/>
                <w:sz w:val="28"/>
                <w:szCs w:val="28"/>
                <w:highlight w:val="none"/>
              </w:rPr>
              <w:t>在7个中蜂产业基地县发展中蜂特色产业，推进万源市万物生中蜂产业化联合体项目建设。</w:t>
            </w:r>
          </w:p>
          <w:p>
            <w:pPr>
              <w:spacing w:line="500" w:lineRule="exact"/>
              <w:ind w:firstLine="560"/>
              <w:jc w:val="left"/>
              <w:rPr>
                <w:b/>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疫病防控：</w:t>
            </w:r>
            <w:r>
              <w:rPr>
                <w:rFonts w:eastAsia="方正楷体_GBK"/>
                <w:kern w:val="0"/>
                <w:sz w:val="28"/>
                <w:szCs w:val="28"/>
                <w:highlight w:val="none"/>
              </w:rPr>
              <w:t>加强疫病控制与净化，加快市级生物安全防护二级实验室建设，健全县级动物疫病防控体系和无害化处理体系，提升基层兽医实验室疫病检测能力。推进无疫小区和病死畜禽集中无害化处理场建设。</w:t>
            </w:r>
          </w:p>
        </w:tc>
      </w:tr>
    </w:tbl>
    <w:p>
      <w:pPr>
        <w:ind w:firstLine="640"/>
        <w:outlineLvl w:val="3"/>
        <w:rPr>
          <w:rFonts w:eastAsia="方正楷体_GBK"/>
          <w:szCs w:val="32"/>
          <w:highlight w:val="none"/>
        </w:rPr>
      </w:pPr>
      <w:r>
        <w:rPr>
          <w:rFonts w:eastAsia="方正楷体_GBK"/>
          <w:szCs w:val="32"/>
          <w:highlight w:val="none"/>
        </w:rPr>
        <w:t>（三）茶</w:t>
      </w:r>
    </w:p>
    <w:p>
      <w:pPr>
        <w:ind w:firstLine="640"/>
        <w:rPr>
          <w:spacing w:val="-6"/>
          <w:szCs w:val="32"/>
          <w:highlight w:val="none"/>
        </w:rPr>
      </w:pPr>
      <w:r>
        <w:rPr>
          <w:szCs w:val="32"/>
          <w:highlight w:val="none"/>
        </w:rPr>
        <w:t>按照“一带、三核、四区、十园”茶产业布局，采用高起点新发展一批、改造提升一批、淘汰转型一批的方式，集中新建或改建规模化、良种化、标准化、安全化机采茶叶基地。推广优质高效茶树品种，推广绿色防控技术体系，实施“绿色、有机茶叶标准化种植示范”工程。引进和培育茶叶深加工企业，以名优绿茶为主，大力发展工夫红茶、黑砖茶等传统优势产品，加大新产品创新研发力度，开发茶衍生产品。强化茶叶产地环境监测和投入品质量检测，提升茶产品质量检验检测能力。推进精品茶园和“景观型”茶叶加工厂建设，打造茶旅结</w:t>
      </w:r>
      <w:r>
        <w:rPr>
          <w:spacing w:val="-6"/>
          <w:szCs w:val="32"/>
          <w:highlight w:val="none"/>
        </w:rPr>
        <w:t>合项目，促进一二三产互动融合。打造“巴山青”达州茶叶区域公用品牌，扩大万源富硒茶、大竹白茶地理标志农产品品牌影响力，培育一批在全省、全国影响力大、带动力强的龙头企业，打造中国富硒茶之都。健全茶产业交易市场运行机制，搭建全国化、多元化的营销渠道网络，提升富硒茶市场占有率。到2025年，力争全市茶叶干毛茶产量达到</w:t>
      </w:r>
      <w:r>
        <w:rPr>
          <w:rFonts w:eastAsia="方正楷体_GBK"/>
          <w:kern w:val="0"/>
          <w:sz w:val="28"/>
          <w:szCs w:val="28"/>
          <w:highlight w:val="none"/>
        </w:rPr>
        <w:t>**</w:t>
      </w:r>
      <w:r>
        <w:rPr>
          <w:spacing w:val="-6"/>
          <w:szCs w:val="32"/>
          <w:highlight w:val="none"/>
        </w:rPr>
        <w:t>万吨。</w:t>
      </w:r>
    </w:p>
    <w:p>
      <w:pPr>
        <w:ind w:firstLine="0" w:firstLineChars="0"/>
        <w:jc w:val="center"/>
        <w:rPr>
          <w:rFonts w:eastAsia="方正黑体_GBK"/>
          <w:bCs/>
          <w:szCs w:val="32"/>
          <w:highlight w:val="none"/>
        </w:rPr>
      </w:pPr>
      <w:r>
        <w:rPr>
          <w:rFonts w:eastAsia="方正黑体_GBK"/>
          <w:bCs/>
          <w:szCs w:val="32"/>
          <w:highlight w:val="none"/>
        </w:rPr>
        <w:t>专栏4  茶产业发展重点项目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提升茶叶基地建设水平，开展有机、绿色认证，推进万源市茶叶现代农业园区、大竹白茶现代农业园区、达川区龙会茶叶现代农业园区建设，到2025年建成标准化机采茶园</w:t>
            </w:r>
            <w:r>
              <w:rPr>
                <w:rFonts w:eastAsia="方正楷体_GBK"/>
                <w:kern w:val="0"/>
                <w:sz w:val="28"/>
                <w:szCs w:val="28"/>
                <w:highlight w:val="none"/>
              </w:rPr>
              <w:t>**</w:t>
            </w:r>
            <w:r>
              <w:rPr>
                <w:rFonts w:eastAsia="方正楷体_GBK"/>
                <w:kern w:val="0"/>
                <w:sz w:val="28"/>
                <w:szCs w:val="28"/>
                <w:highlight w:val="none"/>
              </w:rPr>
              <w:t>万亩、有机茶基地</w:t>
            </w:r>
            <w:r>
              <w:rPr>
                <w:rFonts w:eastAsia="方正楷体_GBK"/>
                <w:kern w:val="0"/>
                <w:sz w:val="28"/>
                <w:szCs w:val="28"/>
                <w:highlight w:val="none"/>
              </w:rPr>
              <w:t>**</w:t>
            </w:r>
            <w:r>
              <w:rPr>
                <w:rFonts w:eastAsia="方正楷体_GBK"/>
                <w:kern w:val="0"/>
                <w:sz w:val="28"/>
                <w:szCs w:val="28"/>
                <w:highlight w:val="none"/>
              </w:rPr>
              <w:t>万亩、绿色食品原料标准化生产基地</w:t>
            </w:r>
            <w:r>
              <w:rPr>
                <w:rFonts w:eastAsia="方正楷体_GBK"/>
                <w:kern w:val="0"/>
                <w:sz w:val="28"/>
                <w:szCs w:val="28"/>
                <w:highlight w:val="none"/>
              </w:rPr>
              <w:t>**</w:t>
            </w:r>
            <w:r>
              <w:rPr>
                <w:rFonts w:eastAsia="方正楷体_GBK"/>
                <w:kern w:val="0"/>
                <w:sz w:val="28"/>
                <w:szCs w:val="28"/>
                <w:highlight w:val="none"/>
              </w:rPr>
              <w:t>万亩。</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品牌建设和市场推广：</w:t>
            </w:r>
            <w:r>
              <w:rPr>
                <w:rFonts w:eastAsia="方正楷体_GBK"/>
                <w:kern w:val="0"/>
                <w:sz w:val="28"/>
                <w:szCs w:val="28"/>
                <w:highlight w:val="none"/>
              </w:rPr>
              <w:t>广泛推介“巴山青”茶叶区域公用品牌，支持省级以上龙头企业打造产品品牌，推进万源市茶叶交易市场建设，支持以网络直播等方式拓宽销售渠道。到2025年开设茶叶区域公用品牌旗舰店</w:t>
            </w:r>
            <w:r>
              <w:rPr>
                <w:rFonts w:eastAsia="方正楷体_GBK"/>
                <w:kern w:val="0"/>
                <w:sz w:val="28"/>
                <w:szCs w:val="28"/>
                <w:highlight w:val="none"/>
              </w:rPr>
              <w:t>**</w:t>
            </w:r>
            <w:r>
              <w:rPr>
                <w:rFonts w:eastAsia="方正楷体_GBK"/>
                <w:kern w:val="0"/>
                <w:sz w:val="28"/>
                <w:szCs w:val="28"/>
                <w:highlight w:val="none"/>
              </w:rPr>
              <w:t>家、茶叶形象店</w:t>
            </w:r>
            <w:r>
              <w:rPr>
                <w:rFonts w:eastAsia="方正楷体_GBK"/>
                <w:kern w:val="0"/>
                <w:sz w:val="28"/>
                <w:szCs w:val="28"/>
                <w:highlight w:val="none"/>
              </w:rPr>
              <w:t>**</w:t>
            </w:r>
            <w:r>
              <w:rPr>
                <w:rFonts w:eastAsia="方正楷体_GBK"/>
                <w:kern w:val="0"/>
                <w:sz w:val="28"/>
                <w:szCs w:val="28"/>
                <w:highlight w:val="none"/>
              </w:rPr>
              <w:t>家、茶叶专卖店</w:t>
            </w:r>
            <w:r>
              <w:rPr>
                <w:rFonts w:eastAsia="方正楷体_GBK"/>
                <w:kern w:val="0"/>
                <w:sz w:val="28"/>
                <w:szCs w:val="28"/>
                <w:highlight w:val="none"/>
              </w:rPr>
              <w:t>**</w:t>
            </w:r>
            <w:r>
              <w:rPr>
                <w:rFonts w:eastAsia="方正楷体_GBK"/>
                <w:kern w:val="0"/>
                <w:sz w:val="28"/>
                <w:szCs w:val="28"/>
                <w:highlight w:val="none"/>
              </w:rPr>
              <w:t>家。</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pacing w:val="-6"/>
                <w:kern w:val="0"/>
                <w:sz w:val="28"/>
                <w:szCs w:val="28"/>
                <w:highlight w:val="none"/>
              </w:rPr>
              <w:t>茶旅融合：</w:t>
            </w:r>
            <w:r>
              <w:rPr>
                <w:rFonts w:eastAsia="方正楷体_GBK"/>
                <w:spacing w:val="-6"/>
                <w:kern w:val="0"/>
                <w:sz w:val="28"/>
                <w:szCs w:val="28"/>
                <w:highlight w:val="none"/>
              </w:rPr>
              <w:t>深化茶旅融合发展，在全市规划建设一批特色鲜明的茶主题公园、精品茶园、茶主题酒店、文化茶坊，推进达州茶文化博物馆建设，开发特色茶旅商品</w:t>
            </w:r>
            <w:r>
              <w:rPr>
                <w:rFonts w:eastAsia="方正楷体_GBK"/>
                <w:kern w:val="0"/>
                <w:sz w:val="28"/>
                <w:szCs w:val="28"/>
                <w:highlight w:val="none"/>
              </w:rPr>
              <w:t>**</w:t>
            </w:r>
            <w:r>
              <w:rPr>
                <w:rFonts w:eastAsia="方正楷体_GBK"/>
                <w:spacing w:val="-6"/>
                <w:kern w:val="0"/>
                <w:sz w:val="28"/>
                <w:szCs w:val="28"/>
                <w:highlight w:val="none"/>
              </w:rPr>
              <w:t>个，打造1-2个茶文化主题活动。</w:t>
            </w:r>
          </w:p>
        </w:tc>
      </w:tr>
    </w:tbl>
    <w:p>
      <w:pPr>
        <w:ind w:firstLine="640"/>
        <w:outlineLvl w:val="3"/>
        <w:rPr>
          <w:rFonts w:eastAsia="方正楷体_GBK"/>
          <w:szCs w:val="32"/>
          <w:highlight w:val="none"/>
        </w:rPr>
      </w:pPr>
      <w:r>
        <w:rPr>
          <w:rFonts w:eastAsia="方正楷体_GBK"/>
          <w:szCs w:val="32"/>
          <w:highlight w:val="none"/>
        </w:rPr>
        <w:t>（四）苎麻</w:t>
      </w:r>
    </w:p>
    <w:p>
      <w:pPr>
        <w:ind w:firstLine="640"/>
        <w:rPr>
          <w:szCs w:val="32"/>
          <w:highlight w:val="none"/>
        </w:rPr>
      </w:pPr>
      <w:r>
        <w:rPr>
          <w:szCs w:val="32"/>
          <w:highlight w:val="none"/>
        </w:rPr>
        <w:t>重点推进大竹县、达川区围绕210国道、包茂高速、南大梁高速沿线，集中连片建设具有一定规模、基础设施配套完善、优良品种全覆盖、管理规范、优质高产的优质高效苎麻种植示范区，打造形成优质高产苎麻产业带。推广苎麻测土配方施肥、病虫害统防统治和绿色防控等新技术，大力推进苎麻播种育苗、耕地栽植、收割打剥等环节机械作业。鼓励成立农民合作社、家庭农场等新型经营主体，培育壮大龙头企业。构建由种植业主、加工企业、经销商等生产经营单位组成的达州苎麻产业联盟（协会），开展苎麻非织造布系列产品研发生产，制定中国苎麻生产标准，推进达州苎麻生产和产品质量认证，积极创建国家优质苎麻生产基地、国家苎麻科技示范园和“达州苎麻”生态原产地保护产品品牌。高标准建设集线上线下销售、物流配送、电子商务为一体的国内一流苎麻原料及加工产品交易中心。推进达州苎麻文化博览城建设，促进产业融合发展。到2025年，苎麻全程机械化率达30%，力争苎麻关联企业达</w:t>
      </w:r>
      <w:r>
        <w:rPr>
          <w:rFonts w:eastAsia="方正楷体_GBK"/>
          <w:kern w:val="0"/>
          <w:sz w:val="28"/>
          <w:szCs w:val="28"/>
          <w:highlight w:val="none"/>
        </w:rPr>
        <w:t>**</w:t>
      </w:r>
      <w:r>
        <w:rPr>
          <w:szCs w:val="32"/>
          <w:highlight w:val="none"/>
        </w:rPr>
        <w:t>家。</w:t>
      </w:r>
    </w:p>
    <w:p>
      <w:pPr>
        <w:ind w:firstLine="0" w:firstLineChars="0"/>
        <w:jc w:val="center"/>
        <w:rPr>
          <w:rFonts w:eastAsia="方正黑体_GBK"/>
          <w:bCs/>
          <w:szCs w:val="32"/>
          <w:highlight w:val="none"/>
        </w:rPr>
      </w:pPr>
      <w:r>
        <w:rPr>
          <w:rFonts w:eastAsia="方正黑体_GBK"/>
          <w:bCs/>
          <w:szCs w:val="32"/>
          <w:highlight w:val="none"/>
        </w:rPr>
        <w:t>专栏5  苎麻产业发展重点项目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改造提升老旧麻园，推进标准化生产基地建设，引导集中连片规模基地转型升级为现代农业园区，到2025年建成集中连片3000亩以上的标准化优质苎麻生产示范基地</w:t>
            </w:r>
            <w:r>
              <w:rPr>
                <w:rFonts w:eastAsia="方正楷体_GBK"/>
                <w:kern w:val="0"/>
                <w:sz w:val="28"/>
                <w:szCs w:val="28"/>
                <w:highlight w:val="none"/>
              </w:rPr>
              <w:t>**</w:t>
            </w:r>
            <w:r>
              <w:rPr>
                <w:rFonts w:eastAsia="方正楷体_GBK"/>
                <w:kern w:val="0"/>
                <w:sz w:val="28"/>
                <w:szCs w:val="28"/>
                <w:highlight w:val="none"/>
              </w:rPr>
              <w:t>个，打造“世界苎麻之都”。</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创新平台建设：</w:t>
            </w:r>
            <w:r>
              <w:rPr>
                <w:rFonts w:eastAsia="方正楷体_GBK"/>
                <w:kern w:val="0"/>
                <w:sz w:val="28"/>
                <w:szCs w:val="28"/>
                <w:highlight w:val="none"/>
              </w:rPr>
              <w:t>创建省级苎麻产业技术研究院（省级苎麻工程技术中心），开展技术创新和新产品研发，建立集苎麻产业技术研发、成果转化、企业孵化、技术服务、人才培养为一体的协同创新中心。</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品牌推广：</w:t>
            </w:r>
            <w:r>
              <w:rPr>
                <w:rFonts w:eastAsia="方正楷体_GBK"/>
                <w:kern w:val="0"/>
                <w:sz w:val="28"/>
                <w:szCs w:val="28"/>
                <w:highlight w:val="none"/>
              </w:rPr>
              <w:t>申报登记“达州苎麻”农产品地理标志，注册原产地证明商标，申请注册达州麻纺产品集体商标或证明商标“达州纤子”。组织达州苎麻生产商、经销商参加各种交易会、博览会、对接会，定期组织开展中国苎麻产业文化博览会、中国麻纺织（苎麻）工业年会等活动，提升达州苎麻品牌综合影响力。</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农旅融合：</w:t>
            </w:r>
            <w:r>
              <w:rPr>
                <w:rFonts w:eastAsia="方正楷体_GBK"/>
                <w:kern w:val="0"/>
                <w:sz w:val="28"/>
                <w:szCs w:val="28"/>
                <w:highlight w:val="none"/>
              </w:rPr>
              <w:t>开展“大竹苎麻文化”申遗工作，建设苎麻文化博览城，新建苎麻文化馆、体验馆、创意产业园等配套馆（园）。</w:t>
            </w:r>
          </w:p>
        </w:tc>
      </w:tr>
    </w:tbl>
    <w:p>
      <w:pPr>
        <w:ind w:firstLine="640"/>
        <w:outlineLvl w:val="3"/>
        <w:rPr>
          <w:rFonts w:eastAsia="方正楷体_GBK"/>
          <w:szCs w:val="32"/>
          <w:highlight w:val="none"/>
        </w:rPr>
      </w:pPr>
      <w:r>
        <w:rPr>
          <w:rFonts w:eastAsia="方正楷体_GBK"/>
          <w:szCs w:val="32"/>
          <w:highlight w:val="none"/>
        </w:rPr>
        <w:t>（五）菜</w:t>
      </w:r>
    </w:p>
    <w:p>
      <w:pPr>
        <w:ind w:firstLine="640"/>
        <w:rPr>
          <w:szCs w:val="32"/>
          <w:highlight w:val="none"/>
        </w:rPr>
      </w:pPr>
      <w:r>
        <w:rPr>
          <w:szCs w:val="32"/>
          <w:highlight w:val="none"/>
        </w:rPr>
        <w:t>提升一批稳定供应中心城区的蔬菜基地，建设一批连线成片的规模化黄花、香椿等特色蔬菜产业基地，打造一批蔬菜专业村、专业乡（镇），培育一批特色蔬菜产地批发市场。重点抓好红辣椒、黄花、香椿和其他蔬菜加工，做大做强以干制加工为主的食用菌生产基地，加大产地初加工、精深加工和冷链物流设施建设，加大生产、加工、流通型龙头企业、蔬菜农民合作社和家庭农场培育力度。打造一批集科技开发、科普教育、技术培训、四新技术试验示范及展示、休闲观光、采摘体验等于一体的多功能现代蔬菜主题公园，建设一批休闲体验农庄，促进一二三产融合。积极开展农产品地理标志登记保护和绿色食品认证，打造一批蔬菜知名品牌，到2025年，蔬菜（食用菌）良种推广率达95%以上，培育市级龙头企业</w:t>
      </w:r>
      <w:r>
        <w:rPr>
          <w:rFonts w:eastAsia="方正楷体_GBK"/>
          <w:kern w:val="0"/>
          <w:sz w:val="28"/>
          <w:szCs w:val="28"/>
          <w:highlight w:val="none"/>
        </w:rPr>
        <w:t>**</w:t>
      </w:r>
      <w:r>
        <w:rPr>
          <w:szCs w:val="32"/>
          <w:highlight w:val="none"/>
        </w:rPr>
        <w:t>家，种植面积200亩以上的合作社</w:t>
      </w:r>
      <w:r>
        <w:rPr>
          <w:rFonts w:eastAsia="方正楷体_GBK"/>
          <w:kern w:val="0"/>
          <w:sz w:val="28"/>
          <w:szCs w:val="28"/>
          <w:highlight w:val="none"/>
        </w:rPr>
        <w:t>**</w:t>
      </w:r>
      <w:r>
        <w:rPr>
          <w:szCs w:val="32"/>
          <w:highlight w:val="none"/>
        </w:rPr>
        <w:t>家。</w:t>
      </w:r>
    </w:p>
    <w:p>
      <w:pPr>
        <w:ind w:firstLine="0" w:firstLineChars="0"/>
        <w:jc w:val="center"/>
        <w:rPr>
          <w:rFonts w:eastAsia="方正黑体_GBK"/>
          <w:bCs/>
          <w:szCs w:val="32"/>
          <w:highlight w:val="none"/>
        </w:rPr>
      </w:pPr>
      <w:r>
        <w:rPr>
          <w:rFonts w:eastAsia="方正黑体_GBK"/>
          <w:bCs/>
          <w:szCs w:val="32"/>
          <w:highlight w:val="none"/>
        </w:rPr>
        <w:t>专栏6  菜产业发展重点项目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加强蔬菜标准化生产基地建设，重点抓好黄花、红辣椒、红香椿、竹根姜、藠头、芦笋、高山蔬菜等特色生产基地扩规模、上档次，到2025年打造蔬菜标准园</w:t>
            </w:r>
            <w:r>
              <w:rPr>
                <w:rFonts w:eastAsia="方正楷体_GBK"/>
                <w:kern w:val="0"/>
                <w:sz w:val="28"/>
                <w:szCs w:val="28"/>
                <w:highlight w:val="none"/>
              </w:rPr>
              <w:t>**</w:t>
            </w:r>
            <w:r>
              <w:rPr>
                <w:rFonts w:eastAsia="方正楷体_GBK"/>
                <w:kern w:val="0"/>
                <w:sz w:val="28"/>
                <w:szCs w:val="28"/>
                <w:highlight w:val="none"/>
              </w:rPr>
              <w:t>个。</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品牌打造：</w:t>
            </w:r>
            <w:r>
              <w:rPr>
                <w:rFonts w:eastAsia="方正楷体_GBK"/>
                <w:kern w:val="0"/>
                <w:sz w:val="28"/>
                <w:szCs w:val="28"/>
                <w:highlight w:val="none"/>
              </w:rPr>
              <w:t>大力扶持“渠县黄花”“巴山红香椿”“黄金黑木耳”“老君香菇”“金檀榨菜”“宝塔莲藕”“开江竹根姜”“万源高山生态蔬菜”等蔬菜品牌，鼓励支持各类新型经营主体开展“三品一标”认证，到2025年新认证蔬菜产品“三品一标”</w:t>
            </w:r>
            <w:r>
              <w:rPr>
                <w:rFonts w:eastAsia="方正楷体_GBK"/>
                <w:kern w:val="0"/>
                <w:sz w:val="28"/>
                <w:szCs w:val="28"/>
                <w:highlight w:val="none"/>
              </w:rPr>
              <w:t>**</w:t>
            </w:r>
            <w:r>
              <w:rPr>
                <w:rFonts w:eastAsia="方正楷体_GBK"/>
                <w:kern w:val="0"/>
                <w:sz w:val="28"/>
                <w:szCs w:val="28"/>
                <w:highlight w:val="none"/>
              </w:rPr>
              <w:t>个。</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农旅融合：</w:t>
            </w:r>
            <w:r>
              <w:rPr>
                <w:rFonts w:eastAsia="方正楷体_GBK"/>
                <w:kern w:val="0"/>
                <w:sz w:val="28"/>
                <w:szCs w:val="28"/>
                <w:highlight w:val="none"/>
              </w:rPr>
              <w:t>建设蔬菜主题公园</w:t>
            </w:r>
            <w:r>
              <w:rPr>
                <w:rFonts w:eastAsia="方正楷体_GBK"/>
                <w:kern w:val="0"/>
                <w:sz w:val="28"/>
                <w:szCs w:val="28"/>
                <w:highlight w:val="none"/>
              </w:rPr>
              <w:t>**</w:t>
            </w:r>
            <w:r>
              <w:rPr>
                <w:rFonts w:eastAsia="方正楷体_GBK"/>
                <w:kern w:val="0"/>
                <w:sz w:val="28"/>
                <w:szCs w:val="28"/>
                <w:highlight w:val="none"/>
              </w:rPr>
              <w:t>个，展示先进生产技术和品种，吸引游客观光和采摘。</w:t>
            </w:r>
          </w:p>
        </w:tc>
      </w:tr>
    </w:tbl>
    <w:p>
      <w:pPr>
        <w:ind w:firstLine="640"/>
        <w:outlineLvl w:val="3"/>
        <w:rPr>
          <w:rFonts w:eastAsia="方正楷体_GBK"/>
          <w:szCs w:val="32"/>
          <w:highlight w:val="none"/>
        </w:rPr>
      </w:pPr>
      <w:r>
        <w:rPr>
          <w:rFonts w:eastAsia="方正楷体_GBK"/>
          <w:szCs w:val="32"/>
          <w:highlight w:val="none"/>
        </w:rPr>
        <w:t>（六）竹</w:t>
      </w:r>
    </w:p>
    <w:p>
      <w:pPr>
        <w:ind w:firstLine="624"/>
        <w:rPr>
          <w:spacing w:val="-4"/>
          <w:szCs w:val="32"/>
          <w:highlight w:val="none"/>
        </w:rPr>
      </w:pPr>
      <w:r>
        <w:rPr>
          <w:spacing w:val="-4"/>
          <w:szCs w:val="32"/>
          <w:highlight w:val="none"/>
        </w:rPr>
        <w:t>按照“一带一片”发展格局，在大竹、渠县、达川区建设木竹全产业链统筹绿色发展示范区，打造集种植、加工、旅游为一体的渠江竹产业带，以万源、宣汉为主的大巴山笋竹、文旅康养的竹产业片，打造川东北竹产业发展引领区。支持新型经营主体、村集体经济组织应用现代科学技术，加快竹林基地集约化、规模化、标准化培育。引进和本地培育相结合，加快构建“原料+初加工+深加工+园区+产品销售”全产业链。深度挖掘竹子生态、经济、文化功能，实施竹旅融合工程。按照“区域品牌+企业品牌”思路，着力培育一批具有文化内涵和影响力的知名企业品牌，全力打造“刘氏竹编”等金字招牌。到2025年，打造现代竹产业园区</w:t>
      </w:r>
      <w:r>
        <w:rPr>
          <w:rFonts w:eastAsia="方正楷体_GBK"/>
          <w:kern w:val="0"/>
          <w:sz w:val="28"/>
          <w:szCs w:val="28"/>
          <w:highlight w:val="none"/>
        </w:rPr>
        <w:t>**</w:t>
      </w:r>
      <w:r>
        <w:rPr>
          <w:spacing w:val="-4"/>
          <w:szCs w:val="32"/>
          <w:highlight w:val="none"/>
        </w:rPr>
        <w:t>个，培育和引进竹产业企业</w:t>
      </w:r>
      <w:r>
        <w:rPr>
          <w:rFonts w:eastAsia="方正楷体_GBK"/>
          <w:kern w:val="0"/>
          <w:sz w:val="28"/>
          <w:szCs w:val="28"/>
          <w:highlight w:val="none"/>
        </w:rPr>
        <w:t>**</w:t>
      </w:r>
      <w:r>
        <w:rPr>
          <w:spacing w:val="-4"/>
          <w:szCs w:val="32"/>
          <w:highlight w:val="none"/>
        </w:rPr>
        <w:t>个，竹产品就地加工转化率达</w:t>
      </w:r>
      <w:r>
        <w:rPr>
          <w:rFonts w:eastAsia="方正楷体_GBK"/>
          <w:kern w:val="0"/>
          <w:sz w:val="28"/>
          <w:szCs w:val="28"/>
          <w:highlight w:val="none"/>
        </w:rPr>
        <w:t>**</w:t>
      </w:r>
      <w:r>
        <w:rPr>
          <w:spacing w:val="-4"/>
          <w:szCs w:val="32"/>
          <w:highlight w:val="none"/>
        </w:rPr>
        <w:t>%。</w:t>
      </w:r>
    </w:p>
    <w:p>
      <w:pPr>
        <w:ind w:firstLine="0" w:firstLineChars="0"/>
        <w:jc w:val="center"/>
        <w:rPr>
          <w:rFonts w:eastAsia="方正黑体_GBK"/>
          <w:bCs/>
          <w:szCs w:val="32"/>
          <w:highlight w:val="none"/>
        </w:rPr>
      </w:pPr>
      <w:r>
        <w:rPr>
          <w:rFonts w:eastAsia="方正黑体_GBK"/>
          <w:bCs/>
          <w:szCs w:val="32"/>
          <w:highlight w:val="none"/>
        </w:rPr>
        <w:t>专栏7  竹产业发展重点项目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加快推进竹林基地集约化、规模化、标准化发展。积极推广竹药、竹菌、竹禽等林下生态种养模式，提高竹林经营效益。到2025年全市竹林面积突破</w:t>
            </w:r>
            <w:r>
              <w:rPr>
                <w:rFonts w:eastAsia="方正楷体_GBK"/>
                <w:kern w:val="0"/>
                <w:sz w:val="28"/>
                <w:szCs w:val="28"/>
                <w:highlight w:val="none"/>
              </w:rPr>
              <w:t>**</w:t>
            </w:r>
            <w:r>
              <w:rPr>
                <w:rFonts w:eastAsia="方正楷体_GBK"/>
                <w:kern w:val="0"/>
                <w:sz w:val="28"/>
                <w:szCs w:val="28"/>
                <w:highlight w:val="none"/>
              </w:rPr>
              <w:t>万亩，建立现代竹林基地</w:t>
            </w:r>
            <w:r>
              <w:rPr>
                <w:rFonts w:eastAsia="方正楷体_GBK"/>
                <w:kern w:val="0"/>
                <w:sz w:val="28"/>
                <w:szCs w:val="28"/>
                <w:highlight w:val="none"/>
              </w:rPr>
              <w:t>**</w:t>
            </w:r>
            <w:r>
              <w:rPr>
                <w:rFonts w:eastAsia="方正楷体_GBK"/>
                <w:kern w:val="0"/>
                <w:sz w:val="28"/>
                <w:szCs w:val="28"/>
                <w:highlight w:val="none"/>
              </w:rPr>
              <w:t>万亩，建设升级现代竹产业基地</w:t>
            </w:r>
            <w:r>
              <w:rPr>
                <w:rFonts w:eastAsia="方正楷体_GBK"/>
                <w:kern w:val="0"/>
                <w:sz w:val="28"/>
                <w:szCs w:val="28"/>
                <w:highlight w:val="none"/>
              </w:rPr>
              <w:t>**</w:t>
            </w:r>
            <w:r>
              <w:rPr>
                <w:rFonts w:eastAsia="方正楷体_GBK"/>
                <w:kern w:val="0"/>
                <w:sz w:val="28"/>
                <w:szCs w:val="28"/>
                <w:highlight w:val="none"/>
              </w:rPr>
              <w:t>个。</w:t>
            </w:r>
          </w:p>
          <w:p>
            <w:pPr>
              <w:spacing w:line="500" w:lineRule="exact"/>
              <w:ind w:firstLine="560"/>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竹旅融合：</w:t>
            </w:r>
            <w:r>
              <w:rPr>
                <w:rFonts w:eastAsia="方正楷体_GBK"/>
                <w:kern w:val="0"/>
                <w:sz w:val="28"/>
                <w:szCs w:val="28"/>
                <w:highlight w:val="none"/>
              </w:rPr>
              <w:t>推进翠竹长廊（竹林大道）与竹旅游环线、竹林小镇（竹林人家）与竹旅景区建设，创新竹旅文化产品，将竹林资源打造成美丽乡村的风景线。到2025年新建竹文化展览中心</w:t>
            </w:r>
            <w:r>
              <w:rPr>
                <w:rFonts w:eastAsia="方正楷体_GBK"/>
                <w:kern w:val="0"/>
                <w:sz w:val="28"/>
                <w:szCs w:val="28"/>
                <w:highlight w:val="none"/>
              </w:rPr>
              <w:t>**</w:t>
            </w:r>
            <w:r>
              <w:rPr>
                <w:rFonts w:eastAsia="方正楷体_GBK"/>
                <w:kern w:val="0"/>
                <w:sz w:val="28"/>
                <w:szCs w:val="28"/>
                <w:highlight w:val="none"/>
              </w:rPr>
              <w:t>个、竹文化主题公园</w:t>
            </w:r>
            <w:r>
              <w:rPr>
                <w:rFonts w:eastAsia="方正楷体_GBK"/>
                <w:kern w:val="0"/>
                <w:sz w:val="28"/>
                <w:szCs w:val="28"/>
                <w:highlight w:val="none"/>
              </w:rPr>
              <w:t>**</w:t>
            </w:r>
            <w:r>
              <w:rPr>
                <w:rFonts w:eastAsia="方正楷体_GBK"/>
                <w:kern w:val="0"/>
                <w:sz w:val="28"/>
                <w:szCs w:val="28"/>
                <w:highlight w:val="none"/>
              </w:rPr>
              <w:t>个、竹林小镇</w:t>
            </w:r>
            <w:r>
              <w:rPr>
                <w:rFonts w:eastAsia="方正楷体_GBK"/>
                <w:kern w:val="0"/>
                <w:sz w:val="28"/>
                <w:szCs w:val="28"/>
                <w:highlight w:val="none"/>
              </w:rPr>
              <w:t>**</w:t>
            </w:r>
            <w:r>
              <w:rPr>
                <w:rFonts w:eastAsia="方正楷体_GBK"/>
                <w:kern w:val="0"/>
                <w:sz w:val="28"/>
                <w:szCs w:val="28"/>
                <w:highlight w:val="none"/>
              </w:rPr>
              <w:t>个，争创现代竹产业高质量发展示范县</w:t>
            </w:r>
            <w:r>
              <w:rPr>
                <w:rFonts w:eastAsia="方正楷体_GBK"/>
                <w:kern w:val="0"/>
                <w:sz w:val="28"/>
                <w:szCs w:val="28"/>
                <w:highlight w:val="none"/>
              </w:rPr>
              <w:t>**</w:t>
            </w:r>
            <w:r>
              <w:rPr>
                <w:rFonts w:eastAsia="方正楷体_GBK"/>
                <w:kern w:val="0"/>
                <w:sz w:val="28"/>
                <w:szCs w:val="28"/>
                <w:highlight w:val="none"/>
              </w:rPr>
              <w:t>个。</w:t>
            </w:r>
          </w:p>
        </w:tc>
      </w:tr>
    </w:tbl>
    <w:p>
      <w:pPr>
        <w:ind w:firstLine="640"/>
        <w:outlineLvl w:val="3"/>
        <w:rPr>
          <w:rFonts w:eastAsia="方正楷体_GBK"/>
          <w:szCs w:val="32"/>
          <w:highlight w:val="none"/>
        </w:rPr>
      </w:pPr>
      <w:r>
        <w:rPr>
          <w:rFonts w:eastAsia="方正楷体_GBK"/>
          <w:szCs w:val="32"/>
          <w:highlight w:val="none"/>
        </w:rPr>
        <w:t>（七）果</w:t>
      </w:r>
    </w:p>
    <w:p>
      <w:pPr>
        <w:ind w:firstLine="640"/>
        <w:rPr>
          <w:szCs w:val="32"/>
          <w:highlight w:val="none"/>
        </w:rPr>
      </w:pPr>
      <w:r>
        <w:rPr>
          <w:szCs w:val="32"/>
          <w:highlight w:val="none"/>
        </w:rPr>
        <w:t>加快形成水果“两带四区”和蚕桑（柞蚕）“三区”，重点推进渠县、达川区两个省级水果重点县和蚕桑重点县建设。按照“规模化种植、标准化生产、商品化处理、品牌化销售、产业化经营”的标准要求，在全市创建一批标准化果园。加强与省农科院、川农大的合作，发挥市农科院研发实力，力争在机械化、优质新品种选育和改良、省力化管理等方面取得成效。在渠县晚熟柑橘和万源猕猴桃两个省部级重大技术协同推广计划试点区域，深入开展先进技术试点示范。</w:t>
      </w:r>
      <w:r>
        <w:rPr>
          <w:color w:val="000000"/>
          <w:szCs w:val="32"/>
          <w:highlight w:val="none"/>
        </w:rPr>
        <w:t>培育壮大龙头企业、农民合作社、家庭农场、专业大户等新型经营主体，引领带动全产业链提升发展。</w:t>
      </w:r>
      <w:r>
        <w:rPr>
          <w:szCs w:val="32"/>
          <w:highlight w:val="none"/>
        </w:rPr>
        <w:t>着力招引一批水果加工企业，提高产地初加工能力和水果精深加工水平，商品化处理能力稳步提高，鼓励有条件的企业建设冷链设施设备，发展冷链运输。打造“达州脆李”区域公用品牌，支持渠县晚熟柑橘、通川蓝莓品牌建设。到2025年，力争建成标准化水果产业基地</w:t>
      </w:r>
      <w:r>
        <w:rPr>
          <w:rFonts w:eastAsia="方正楷体_GBK"/>
          <w:kern w:val="0"/>
          <w:sz w:val="28"/>
          <w:szCs w:val="28"/>
          <w:highlight w:val="none"/>
        </w:rPr>
        <w:t>**</w:t>
      </w:r>
      <w:r>
        <w:rPr>
          <w:szCs w:val="32"/>
          <w:highlight w:val="none"/>
        </w:rPr>
        <w:t>万亩，水果产地初加工率达到</w:t>
      </w:r>
      <w:r>
        <w:rPr>
          <w:rFonts w:eastAsia="方正楷体_GBK"/>
          <w:kern w:val="0"/>
          <w:sz w:val="28"/>
          <w:szCs w:val="28"/>
          <w:highlight w:val="none"/>
        </w:rPr>
        <w:t>**</w:t>
      </w:r>
      <w:r>
        <w:rPr>
          <w:szCs w:val="32"/>
          <w:highlight w:val="none"/>
        </w:rPr>
        <w:t>%。</w:t>
      </w:r>
    </w:p>
    <w:p>
      <w:pPr>
        <w:spacing w:line="560" w:lineRule="exact"/>
        <w:ind w:firstLine="0" w:firstLineChars="0"/>
        <w:jc w:val="center"/>
        <w:rPr>
          <w:rFonts w:eastAsia="方正黑体_GBK"/>
          <w:bCs/>
          <w:szCs w:val="32"/>
          <w:highlight w:val="none"/>
        </w:rPr>
      </w:pPr>
      <w:r>
        <w:rPr>
          <w:rFonts w:eastAsia="方正黑体_GBK"/>
          <w:bCs/>
          <w:szCs w:val="32"/>
          <w:highlight w:val="none"/>
        </w:rPr>
        <w:t>专栏8  果产业发展重点项目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在全市创建一批标准化果园，推进现代农业园区建设，加快推进晚熟柑橘、优质脆李两大优势水果产业带、优质柠檬、蓝莓、桃、猕猴桃四大特色水果生产区和三大蚕桑（柞蚕）产业生产区建设。到2025年建成标准化水果产业基地</w:t>
            </w:r>
            <w:r>
              <w:rPr>
                <w:rFonts w:eastAsia="方正楷体_GBK"/>
                <w:kern w:val="0"/>
                <w:sz w:val="28"/>
                <w:szCs w:val="28"/>
                <w:highlight w:val="none"/>
              </w:rPr>
              <w:t>**</w:t>
            </w:r>
            <w:r>
              <w:rPr>
                <w:rFonts w:eastAsia="方正楷体_GBK"/>
                <w:kern w:val="0"/>
                <w:sz w:val="28"/>
                <w:szCs w:val="28"/>
                <w:highlight w:val="none"/>
              </w:rPr>
              <w:t>万亩。</w:t>
            </w:r>
          </w:p>
          <w:p>
            <w:pPr>
              <w:spacing w:line="500" w:lineRule="exact"/>
              <w:ind w:firstLine="560"/>
              <w:jc w:val="left"/>
              <w:rPr>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品牌打造：</w:t>
            </w:r>
            <w:r>
              <w:rPr>
                <w:rFonts w:eastAsia="方正楷体_GBK"/>
                <w:kern w:val="0"/>
                <w:sz w:val="28"/>
                <w:szCs w:val="28"/>
                <w:highlight w:val="none"/>
              </w:rPr>
              <w:t>集中培育“达州脆李”农产品地理标志，鼓励企业自主打造品牌、注册商标，到2025年力争培育</w:t>
            </w:r>
            <w:r>
              <w:rPr>
                <w:rFonts w:eastAsia="方正楷体_GBK"/>
                <w:kern w:val="0"/>
                <w:sz w:val="28"/>
                <w:szCs w:val="28"/>
                <w:highlight w:val="none"/>
              </w:rPr>
              <w:t>**</w:t>
            </w:r>
            <w:r>
              <w:rPr>
                <w:rFonts w:eastAsia="方正楷体_GBK"/>
                <w:kern w:val="0"/>
                <w:sz w:val="28"/>
                <w:szCs w:val="28"/>
                <w:highlight w:val="none"/>
              </w:rPr>
              <w:t>个具有一定知名度的品牌，力争全市果产业品牌化销售占比提高20%以上。</w:t>
            </w:r>
          </w:p>
          <w:p>
            <w:pPr>
              <w:spacing w:line="500" w:lineRule="exact"/>
              <w:ind w:firstLine="560"/>
              <w:jc w:val="left"/>
              <w:rPr>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农旅融合：</w:t>
            </w:r>
            <w:r>
              <w:rPr>
                <w:rFonts w:eastAsia="方正楷体_GBK"/>
                <w:kern w:val="0"/>
                <w:sz w:val="28"/>
                <w:szCs w:val="28"/>
                <w:highlight w:val="none"/>
              </w:rPr>
              <w:t>推进通川区农业主题公园、渠县高品质特色水果小镇建设项目，促进农旅融合发展。</w:t>
            </w:r>
          </w:p>
        </w:tc>
      </w:tr>
    </w:tbl>
    <w:p>
      <w:pPr>
        <w:ind w:firstLine="640"/>
        <w:outlineLvl w:val="3"/>
        <w:rPr>
          <w:rFonts w:eastAsia="方正楷体_GBK"/>
          <w:szCs w:val="32"/>
          <w:highlight w:val="none"/>
        </w:rPr>
      </w:pPr>
      <w:r>
        <w:rPr>
          <w:rFonts w:eastAsia="方正楷体_GBK"/>
          <w:szCs w:val="32"/>
          <w:highlight w:val="none"/>
        </w:rPr>
        <w:t>（八）中药材</w:t>
      </w:r>
    </w:p>
    <w:p>
      <w:pPr>
        <w:ind w:firstLine="640"/>
        <w:rPr>
          <w:szCs w:val="32"/>
          <w:highlight w:val="none"/>
        </w:rPr>
      </w:pPr>
      <w:r>
        <w:rPr>
          <w:szCs w:val="32"/>
          <w:highlight w:val="none"/>
        </w:rPr>
        <w:t>着力构建形成“一核引领、两翼带动、六极赋能、全域发展”的中药材产业发展空间布局和“一区两带”的中医药康养空间布局。按“一县一特色品种，一品种一示范基地，一基地一专家团队”模式，实施“515”计划，建设西南地区“绿色中药材种植基地”，推进秦巴药用植物博览园建设，构建完善“中药材种植-产地加工-精深加工”产业链。加强招商和补链，扶持重点企业发展，打造秦巴地区中药材深加工中心和秦巴地区中药材仓储物流中心。加强与省内外高校、科研院所合作，强化中药产业科技创新，以中药材产地初加工、精深加工为基础，拓展功能饮品、中药天然精油、医用面膜等日用品。举办“秦巴中医药大健康产业发展”论坛，提高“秦巴药库，康养达州”的知名度、美誉度和影响力。实施“352”川产道地药材管理规范和质量标准提升工程，强化中药材（中药饮片）监管，坚决守住质量安全底线。到2025年，中药材种植（养殖）面积稳定在</w:t>
      </w:r>
      <w:r>
        <w:rPr>
          <w:rFonts w:eastAsia="方正楷体_GBK"/>
          <w:kern w:val="0"/>
          <w:sz w:val="28"/>
          <w:szCs w:val="28"/>
          <w:highlight w:val="none"/>
        </w:rPr>
        <w:t>**</w:t>
      </w:r>
      <w:r>
        <w:rPr>
          <w:szCs w:val="32"/>
          <w:highlight w:val="none"/>
        </w:rPr>
        <w:t>万亩，实现综合产值</w:t>
      </w:r>
      <w:r>
        <w:rPr>
          <w:rFonts w:eastAsia="方正楷体_GBK"/>
          <w:kern w:val="0"/>
          <w:sz w:val="28"/>
          <w:szCs w:val="28"/>
          <w:highlight w:val="none"/>
        </w:rPr>
        <w:t>**</w:t>
      </w:r>
      <w:r>
        <w:rPr>
          <w:szCs w:val="32"/>
          <w:highlight w:val="none"/>
        </w:rPr>
        <w:t>亿元。</w:t>
      </w:r>
    </w:p>
    <w:p>
      <w:pPr>
        <w:ind w:firstLine="0" w:firstLineChars="0"/>
        <w:jc w:val="center"/>
        <w:rPr>
          <w:rFonts w:eastAsia="方正黑体_GBK"/>
          <w:bCs/>
          <w:szCs w:val="32"/>
          <w:highlight w:val="none"/>
        </w:rPr>
      </w:pPr>
      <w:r>
        <w:rPr>
          <w:rFonts w:eastAsia="方正黑体_GBK"/>
          <w:bCs/>
          <w:szCs w:val="32"/>
          <w:highlight w:val="none"/>
        </w:rPr>
        <w:t>专栏9  中药材产业发展重点项目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基地建设：</w:t>
            </w:r>
            <w:r>
              <w:rPr>
                <w:rFonts w:eastAsia="方正楷体_GBK"/>
                <w:kern w:val="0"/>
                <w:sz w:val="28"/>
                <w:szCs w:val="28"/>
                <w:highlight w:val="none"/>
              </w:rPr>
              <w:t>重点推进达川区乌梅国家级或省级现代农业园区，万源市萼贝和“三木药材”市级示范基地，宣汉县天麻、木香、“三木药材”市级示范基地，渠县白芷、白芍市级示范基地，开江县银杏市级示范基地建设。</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创新平台建设：</w:t>
            </w:r>
            <w:r>
              <w:rPr>
                <w:rFonts w:eastAsia="方正楷体_GBK"/>
                <w:kern w:val="0"/>
                <w:sz w:val="28"/>
                <w:szCs w:val="28"/>
                <w:highlight w:val="none"/>
              </w:rPr>
              <w:t>加大对四川省中医药科学院达州产业技术分院及在达高校、科研院所的支持力度，依托市医药产业园建设川东渝北中药材产业科技转化孵化园。建设产业大数据服务中心、中药材互联网综合服务平台及质量追溯系统，支持中药材产业科技成果转化中心和研究中心，支持企业自主创新。</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品牌打造：</w:t>
            </w:r>
            <w:r>
              <w:rPr>
                <w:rFonts w:eastAsia="方正楷体_GBK"/>
                <w:kern w:val="0"/>
                <w:sz w:val="28"/>
                <w:szCs w:val="28"/>
                <w:highlight w:val="none"/>
              </w:rPr>
              <w:t>做大做强达川乌梅、开江银杏、渠县白芍、万源萼贝、宣汉宣黄连品牌，推进国家地理标志保护产品申报、川产道地药材备案及中药GAP备案。</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新业态培育：</w:t>
            </w:r>
            <w:r>
              <w:rPr>
                <w:rFonts w:eastAsia="方正楷体_GBK"/>
                <w:kern w:val="0"/>
                <w:sz w:val="28"/>
                <w:szCs w:val="28"/>
                <w:highlight w:val="none"/>
              </w:rPr>
              <w:t>在巴山大峡谷、真佛山、凤凰山、犀牛山、铁山等风景区，结合传统文化建设养生馆、养生步道、养生体验馆；推动建设一批中医药主题公园、休闲绿带和特色街区，促进中医药康养融合发展。依托乌梅山、巴山大峡谷、八台山、龙潭河、黑宝山、铁山、五峰山</w:t>
            </w:r>
            <w:r>
              <w:rPr>
                <w:rFonts w:hint="eastAsia" w:eastAsia="方正楷体_GBK"/>
                <w:kern w:val="0"/>
                <w:sz w:val="28"/>
                <w:szCs w:val="28"/>
                <w:highlight w:val="none"/>
                <w:lang w:eastAsia="zh-CN"/>
              </w:rPr>
              <w:t>、</w:t>
            </w:r>
            <w:r>
              <w:rPr>
                <w:rFonts w:eastAsia="方正楷体_GBK"/>
                <w:kern w:val="0"/>
                <w:sz w:val="28"/>
                <w:szCs w:val="28"/>
                <w:highlight w:val="none"/>
              </w:rPr>
              <w:t>云门天寨等优质旅游资源和道地中药材种植基地，推出一批以药用植物种植、食膳、观赏为题材的生态旅游示范区、中药种植综合体、森林公园等，推动中药农业、林业与旅游融合发展。</w:t>
            </w:r>
          </w:p>
        </w:tc>
      </w:tr>
    </w:tbl>
    <w:p>
      <w:pPr>
        <w:ind w:firstLine="640"/>
        <w:outlineLvl w:val="3"/>
        <w:rPr>
          <w:rFonts w:eastAsia="方正楷体_GBK"/>
          <w:szCs w:val="32"/>
          <w:highlight w:val="none"/>
        </w:rPr>
      </w:pPr>
      <w:r>
        <w:rPr>
          <w:rFonts w:eastAsia="方正楷体_GBK"/>
          <w:szCs w:val="32"/>
          <w:highlight w:val="none"/>
        </w:rPr>
        <w:t>（九）水产</w:t>
      </w:r>
    </w:p>
    <w:p>
      <w:pPr>
        <w:ind w:firstLine="640"/>
        <w:rPr>
          <w:szCs w:val="32"/>
          <w:highlight w:val="none"/>
        </w:rPr>
      </w:pPr>
      <w:r>
        <w:rPr>
          <w:szCs w:val="32"/>
          <w:highlight w:val="none"/>
        </w:rPr>
        <w:t>优化形成丘陵区优势水产产业带、稻渔（鱼、虾、蟹）综合种养特色水产产业带、山区冷水鱼优质水产产业带和休闲渔业产业带“四大”水产特色产业带。大力发展冷水鱼、小龙虾、大闸蟹、鲈鱼等优质特色水产品种的养殖，因地制宜建设一批现代水产园区、规模化标准化养殖基地、稻渔综合种养示范基地。推进水产健康养殖技术、模式升级，创制节能高效、质量安全、生态环保的养殖模式和标准化生产管理技术体系，增强市县乡水产技术推广机构服务能力。注册和壮大“东柳鱼头”“百岛湖小龙虾”“宝石湖大闸蟹”等优质特色川鱼品牌，逐步培育成国家地理标志和著名商标。加强水产品质量安全监管，完善质量安全追溯体系，创建水产品质量安全标准化生产示范基地。推进“渔业产业美、渔业文化美、渔村生态美、村民生活美”的美丽渔村建设，支持省级以上休闲渔业示范基地提档升级。到2025年，新培育水产龙头企业</w:t>
      </w:r>
      <w:r>
        <w:rPr>
          <w:rFonts w:eastAsia="方正楷体_GBK"/>
          <w:kern w:val="0"/>
          <w:sz w:val="28"/>
          <w:szCs w:val="28"/>
          <w:highlight w:val="none"/>
        </w:rPr>
        <w:t>**</w:t>
      </w:r>
      <w:r>
        <w:rPr>
          <w:szCs w:val="32"/>
          <w:highlight w:val="none"/>
        </w:rPr>
        <w:t>家，全市水产品产地抽检合格率达到</w:t>
      </w:r>
      <w:r>
        <w:rPr>
          <w:rFonts w:eastAsia="方正楷体_GBK"/>
          <w:kern w:val="0"/>
          <w:sz w:val="28"/>
          <w:szCs w:val="28"/>
          <w:highlight w:val="none"/>
        </w:rPr>
        <w:t>**</w:t>
      </w:r>
      <w:r>
        <w:rPr>
          <w:szCs w:val="32"/>
          <w:highlight w:val="none"/>
        </w:rPr>
        <w:t>%以上。</w:t>
      </w:r>
    </w:p>
    <w:p>
      <w:pPr>
        <w:ind w:firstLine="0" w:firstLineChars="0"/>
        <w:jc w:val="center"/>
        <w:rPr>
          <w:rFonts w:eastAsia="方正黑体_GBK"/>
          <w:bCs/>
          <w:szCs w:val="32"/>
          <w:highlight w:val="none"/>
        </w:rPr>
      </w:pPr>
      <w:r>
        <w:rPr>
          <w:rFonts w:eastAsia="方正黑体_GBK"/>
          <w:bCs/>
          <w:szCs w:val="32"/>
          <w:highlight w:val="none"/>
        </w:rPr>
        <w:t>专栏10  水产产业发展重点项目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spacing w:val="-6"/>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spacing w:val="-6"/>
                <w:kern w:val="0"/>
                <w:sz w:val="28"/>
                <w:szCs w:val="28"/>
                <w:highlight w:val="none"/>
              </w:rPr>
              <w:t>基地建设：</w:t>
            </w:r>
            <w:r>
              <w:rPr>
                <w:rFonts w:eastAsia="方正楷体_GBK"/>
                <w:spacing w:val="-6"/>
                <w:kern w:val="0"/>
                <w:sz w:val="28"/>
                <w:szCs w:val="28"/>
                <w:highlight w:val="none"/>
              </w:rPr>
              <w:t>推进规模化标准化养殖基地建设和稻渔综合种养示范基地改造提升。以各县（市、区）大中小型水利工程为重点，建设水库生态养殖基地，推进大水面生态渔场建设；以开江、大竹为重点，打造稻渔综合种养特色产业带；在万源、宣汉大巴山山区，打造冷水鱼养殖带；在渠县、大竹、通川区、宣汉等地实施池塘静养，打造鲈鱼、鲶鱼、斑点叉尾鮰、黄颡鱼、青蛙等优势特色鱼类产业带。</w:t>
            </w:r>
          </w:p>
          <w:p>
            <w:pPr>
              <w:spacing w:line="500" w:lineRule="exact"/>
              <w:ind w:firstLine="560"/>
              <w:jc w:val="left"/>
              <w:rPr>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技术推广：</w:t>
            </w:r>
            <w:r>
              <w:rPr>
                <w:rFonts w:eastAsia="方正楷体_GBK"/>
                <w:kern w:val="0"/>
                <w:sz w:val="28"/>
                <w:szCs w:val="28"/>
                <w:highlight w:val="none"/>
              </w:rPr>
              <w:t>开展县级水产技术推广机构能力建设，推广节水、节能、减排、安全、高效、尾水处理等水产养殖技术和生态养殖模式。</w:t>
            </w:r>
          </w:p>
          <w:p>
            <w:pPr>
              <w:spacing w:line="500" w:lineRule="exact"/>
              <w:ind w:firstLine="560"/>
              <w:jc w:val="left"/>
              <w:rPr>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品牌打造：</w:t>
            </w:r>
            <w:r>
              <w:rPr>
                <w:rFonts w:eastAsia="方正楷体_GBK"/>
                <w:kern w:val="0"/>
                <w:sz w:val="28"/>
                <w:szCs w:val="28"/>
                <w:highlight w:val="none"/>
              </w:rPr>
              <w:t>抓好“东柳鱼头”“百岛湖小龙虾”“宝石湖大闸蟹”等优势品牌培育，推进“三品一标”、省级优秀农产品区域公用品牌和省级优质品牌建设、申报获证力度，到2025年打造</w:t>
            </w:r>
            <w:r>
              <w:rPr>
                <w:rFonts w:eastAsia="方正楷体_GBK"/>
                <w:kern w:val="0"/>
                <w:sz w:val="28"/>
                <w:szCs w:val="28"/>
                <w:highlight w:val="none"/>
              </w:rPr>
              <w:t>**</w:t>
            </w:r>
            <w:r>
              <w:rPr>
                <w:rFonts w:eastAsia="方正楷体_GBK"/>
                <w:kern w:val="0"/>
                <w:sz w:val="28"/>
                <w:szCs w:val="28"/>
                <w:highlight w:val="none"/>
              </w:rPr>
              <w:t>个水产知名品牌。</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信息化建设：</w:t>
            </w:r>
            <w:r>
              <w:rPr>
                <w:rFonts w:eastAsia="方正楷体_GBK"/>
                <w:kern w:val="0"/>
                <w:sz w:val="28"/>
                <w:szCs w:val="28"/>
                <w:highlight w:val="none"/>
              </w:rPr>
              <w:t>依托市县水产技术推广机构、水产科研院所、大型电子商务平台、龙头企业等单位，构建及运行维护包括水产品市场信息、水产品电子商务、养殖技术信息、水生动物疫病监测预警预报、渔情信息监测、在线技术咨询、大数据共享、水产养殖智慧服务等内容的公益性推广服务平台。</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农旅融合：</w:t>
            </w:r>
            <w:r>
              <w:rPr>
                <w:rFonts w:eastAsia="方正楷体_GBK"/>
                <w:kern w:val="0"/>
                <w:sz w:val="28"/>
                <w:szCs w:val="28"/>
                <w:highlight w:val="none"/>
              </w:rPr>
              <w:t>到2025年建设</w:t>
            </w:r>
            <w:r>
              <w:rPr>
                <w:rFonts w:eastAsia="方正楷体_GBK"/>
                <w:kern w:val="0"/>
                <w:sz w:val="28"/>
                <w:szCs w:val="28"/>
                <w:highlight w:val="none"/>
              </w:rPr>
              <w:t>**</w:t>
            </w:r>
            <w:r>
              <w:rPr>
                <w:rFonts w:eastAsia="方正楷体_GBK"/>
                <w:kern w:val="0"/>
                <w:sz w:val="28"/>
                <w:szCs w:val="28"/>
                <w:highlight w:val="none"/>
              </w:rPr>
              <w:t>个美丽渔村、改扩建</w:t>
            </w:r>
            <w:r>
              <w:rPr>
                <w:rFonts w:eastAsia="方正楷体_GBK"/>
                <w:kern w:val="0"/>
                <w:sz w:val="28"/>
                <w:szCs w:val="28"/>
                <w:highlight w:val="none"/>
              </w:rPr>
              <w:t>**</w:t>
            </w:r>
            <w:r>
              <w:rPr>
                <w:rFonts w:eastAsia="方正楷体_GBK"/>
                <w:kern w:val="0"/>
                <w:sz w:val="28"/>
                <w:szCs w:val="28"/>
                <w:highlight w:val="none"/>
              </w:rPr>
              <w:t>个休闲渔业示范基地。</w:t>
            </w:r>
          </w:p>
        </w:tc>
      </w:tr>
    </w:tbl>
    <w:p>
      <w:pPr>
        <w:pStyle w:val="5"/>
        <w:rPr>
          <w:rFonts w:ascii="Times New Roman"/>
          <w:highlight w:val="none"/>
        </w:rPr>
      </w:pPr>
      <w:bookmarkStart w:id="76" w:name="_Toc72746634"/>
      <w:bookmarkStart w:id="77" w:name="_Toc73979848"/>
      <w:r>
        <w:rPr>
          <w:rFonts w:ascii="Times New Roman"/>
          <w:highlight w:val="none"/>
        </w:rPr>
        <w:t>第三节  创新发展3大先导性产业</w:t>
      </w:r>
      <w:bookmarkEnd w:id="76"/>
      <w:bookmarkEnd w:id="77"/>
    </w:p>
    <w:p>
      <w:pPr>
        <w:ind w:firstLine="640"/>
        <w:outlineLvl w:val="3"/>
        <w:rPr>
          <w:rFonts w:eastAsia="方正楷体_GBK"/>
          <w:szCs w:val="32"/>
          <w:highlight w:val="none"/>
        </w:rPr>
      </w:pPr>
      <w:r>
        <w:rPr>
          <w:rFonts w:eastAsia="方正楷体_GBK"/>
          <w:szCs w:val="32"/>
          <w:highlight w:val="none"/>
        </w:rPr>
        <w:t>（一）现代农业种业</w:t>
      </w:r>
    </w:p>
    <w:p>
      <w:pPr>
        <w:ind w:firstLine="632"/>
        <w:rPr>
          <w:highlight w:val="none"/>
        </w:rPr>
      </w:pPr>
      <w:bookmarkStart w:id="78" w:name="_Hlk73618884"/>
      <w:r>
        <w:rPr>
          <w:spacing w:val="-2"/>
          <w:highlight w:val="none"/>
        </w:rPr>
        <w:t>加快推进《达州市现代农业种业发展工作推进方案》落地落实。</w:t>
      </w:r>
      <w:r>
        <w:rPr>
          <w:highlight w:val="none"/>
        </w:rPr>
        <w:t>加强种质资源保护开发利用，建设饲草、开江红花山油橄榄、苎麻、竹、药用植物种质资源圃和鱼类种质资源库，推动杂交水稻、杂交玉米制种基地，特色优势农作物区域良繁基地，畜禽核心育种场、水产原良种场，中药材及苎麻等特色经济作物种子（苗）基地建设，积极创建现代种业园区。重点支持一批基础好、有发展潜力的优势科研单位，培育和引进一批在全国有影响力的育繁推一体化现代种业企业。采取联合培养、合作办学、定期培训等多种形式，强化种业人才培养。引导种业企业建立种业联盟，强化与科研院所合作。强化市、县两级种业管理体系和能力建设，加强农作物、畜禽、水产种子（苗）质量监督检验机构建设和资质考核。建立和落实种子行业诚信评价机制和企业黑名单制度，建立健全新品种展示评价体系和产权交易体系。</w:t>
      </w:r>
    </w:p>
    <w:bookmarkEnd w:id="78"/>
    <w:p>
      <w:pPr>
        <w:ind w:firstLine="0" w:firstLineChars="0"/>
        <w:jc w:val="center"/>
        <w:rPr>
          <w:rFonts w:eastAsia="方正黑体_GBK"/>
          <w:bCs/>
          <w:szCs w:val="32"/>
          <w:highlight w:val="none"/>
        </w:rPr>
      </w:pPr>
      <w:r>
        <w:rPr>
          <w:rFonts w:eastAsia="方正黑体_GBK"/>
          <w:bCs/>
          <w:szCs w:val="32"/>
          <w:highlight w:val="none"/>
        </w:rPr>
        <w:t>专栏11  现代农业种业发展重点项目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种质资源保护：</w:t>
            </w:r>
            <w:r>
              <w:rPr>
                <w:rFonts w:eastAsia="方正楷体_GBK"/>
                <w:kern w:val="0"/>
                <w:sz w:val="28"/>
                <w:szCs w:val="28"/>
                <w:highlight w:val="none"/>
              </w:rPr>
              <w:t>开展苎麻资源，野生和地方特有果树资源，中药材资源，州河、巴河、渠江珍稀特有鱼类资源调查评估。推进万源野生大豆、苎麻、中药材、水产种质资源库和巴山牛、旧院黑鸡、板角山羊、中蜂遗传资源保种场（区）建设，推进创建川东北—渝东北农作物种质资源库。</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育种基地建设：</w:t>
            </w:r>
            <w:r>
              <w:rPr>
                <w:rFonts w:eastAsia="方正楷体_GBK"/>
                <w:kern w:val="0"/>
                <w:sz w:val="28"/>
                <w:szCs w:val="28"/>
                <w:highlight w:val="none"/>
              </w:rPr>
              <w:t>围绕9大特色优势产业，加快推进育种攻关，加强和完善良种繁育基础设施建设，支持大竹、渠县、宣汉等地建设市级及以上现代农业种业园区。到2025年建设现代农业种业园区</w:t>
            </w:r>
            <w:r>
              <w:rPr>
                <w:rFonts w:eastAsia="方正楷体_GBK"/>
                <w:kern w:val="0"/>
                <w:sz w:val="28"/>
                <w:szCs w:val="28"/>
                <w:highlight w:val="none"/>
              </w:rPr>
              <w:t>**</w:t>
            </w:r>
            <w:r>
              <w:rPr>
                <w:rFonts w:eastAsia="方正楷体_GBK"/>
                <w:kern w:val="0"/>
                <w:sz w:val="28"/>
                <w:szCs w:val="28"/>
                <w:highlight w:val="none"/>
              </w:rPr>
              <w:t>个，建成省部级生猪核心育种场1个、省级肉牛核心育种场1个，苎麻品种创新、良种繁育及新品种新技术示范基地</w:t>
            </w:r>
            <w:r>
              <w:rPr>
                <w:rFonts w:eastAsia="方正楷体_GBK"/>
                <w:kern w:val="0"/>
                <w:sz w:val="28"/>
                <w:szCs w:val="28"/>
                <w:highlight w:val="none"/>
              </w:rPr>
              <w:t>**</w:t>
            </w:r>
            <w:r>
              <w:rPr>
                <w:rFonts w:hint="eastAsia" w:eastAsia="方正楷体_GBK"/>
                <w:kern w:val="0"/>
                <w:sz w:val="28"/>
                <w:szCs w:val="28"/>
                <w:highlight w:val="none"/>
              </w:rPr>
              <w:t>亩</w:t>
            </w:r>
            <w:r>
              <w:rPr>
                <w:rFonts w:eastAsia="方正楷体_GBK"/>
                <w:kern w:val="0"/>
                <w:sz w:val="28"/>
                <w:szCs w:val="28"/>
                <w:highlight w:val="none"/>
              </w:rPr>
              <w:t>，100亩以上水果果树良种繁育基地7个、大宗中药材良种繁育基地</w:t>
            </w:r>
            <w:r>
              <w:rPr>
                <w:rFonts w:eastAsia="方正楷体_GBK"/>
                <w:kern w:val="0"/>
                <w:sz w:val="28"/>
                <w:szCs w:val="28"/>
                <w:highlight w:val="none"/>
              </w:rPr>
              <w:t>**</w:t>
            </w:r>
            <w:r>
              <w:rPr>
                <w:rFonts w:eastAsia="方正楷体_GBK"/>
                <w:kern w:val="0"/>
                <w:sz w:val="28"/>
                <w:szCs w:val="28"/>
                <w:highlight w:val="none"/>
              </w:rPr>
              <w:t>亩以上，优质特色水产苗种基地</w:t>
            </w:r>
            <w:r>
              <w:rPr>
                <w:rFonts w:eastAsia="方正楷体_GBK"/>
                <w:kern w:val="0"/>
                <w:sz w:val="28"/>
                <w:szCs w:val="28"/>
                <w:highlight w:val="none"/>
              </w:rPr>
              <w:t>**</w:t>
            </w:r>
            <w:r>
              <w:rPr>
                <w:rFonts w:eastAsia="方正楷体_GBK"/>
                <w:kern w:val="0"/>
                <w:sz w:val="28"/>
                <w:szCs w:val="28"/>
                <w:highlight w:val="none"/>
              </w:rPr>
              <w:t>个，主要农作物良种覆盖率</w:t>
            </w:r>
            <w:r>
              <w:rPr>
                <w:rFonts w:hint="eastAsia" w:eastAsia="方正楷体_GBK"/>
                <w:kern w:val="0"/>
                <w:sz w:val="28"/>
                <w:szCs w:val="28"/>
                <w:highlight w:val="none"/>
              </w:rPr>
              <w:t>98</w:t>
            </w:r>
            <w:r>
              <w:rPr>
                <w:rFonts w:eastAsia="方正楷体_GBK"/>
                <w:kern w:val="0"/>
                <w:sz w:val="28"/>
                <w:szCs w:val="28"/>
                <w:highlight w:val="none"/>
              </w:rPr>
              <w:t>%以上，川鱼产业良种覆盖率达到90%以上。</w:t>
            </w:r>
          </w:p>
          <w:p>
            <w:pPr>
              <w:spacing w:line="500" w:lineRule="exact"/>
              <w:ind w:firstLine="560"/>
              <w:rPr>
                <w:rFonts w:eastAsia="方正楷体_GBK"/>
                <w:spacing w:val="-2"/>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育种企业培育：</w:t>
            </w:r>
            <w:r>
              <w:rPr>
                <w:rFonts w:eastAsia="方正楷体_GBK"/>
                <w:spacing w:val="-2"/>
                <w:kern w:val="0"/>
                <w:sz w:val="28"/>
                <w:szCs w:val="28"/>
                <w:highlight w:val="none"/>
              </w:rPr>
              <w:t>培育一批在全国有影响力的育繁推一体化现代种业企业。到2025年培育川鱼优势特色育繁推一体化现代水产苗种企业6家，培育优质种子种苗专业化经营公司</w:t>
            </w:r>
            <w:r>
              <w:rPr>
                <w:rFonts w:eastAsia="方正楷体_GBK"/>
                <w:kern w:val="0"/>
                <w:sz w:val="28"/>
                <w:szCs w:val="28"/>
                <w:highlight w:val="none"/>
              </w:rPr>
              <w:t>**</w:t>
            </w:r>
            <w:r>
              <w:rPr>
                <w:rFonts w:eastAsia="方正楷体_GBK"/>
                <w:spacing w:val="-2"/>
                <w:kern w:val="0"/>
                <w:sz w:val="28"/>
                <w:szCs w:val="28"/>
                <w:highlight w:val="none"/>
              </w:rPr>
              <w:t>家以上。</w:t>
            </w:r>
          </w:p>
          <w:p>
            <w:pPr>
              <w:spacing w:line="500" w:lineRule="exact"/>
              <w:ind w:firstLine="560"/>
              <w:rPr>
                <w:rFonts w:eastAsia="方正楷体_GBK"/>
                <w:spacing w:val="-2"/>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良种选育：</w:t>
            </w:r>
            <w:r>
              <w:rPr>
                <w:rFonts w:eastAsia="方正楷体_GBK"/>
                <w:spacing w:val="-2"/>
                <w:kern w:val="0"/>
                <w:sz w:val="28"/>
                <w:szCs w:val="28"/>
                <w:highlight w:val="none"/>
              </w:rPr>
              <w:t>到2025年研发水稻、玉米新品种</w:t>
            </w:r>
            <w:r>
              <w:rPr>
                <w:rFonts w:eastAsia="方正楷体_GBK"/>
                <w:kern w:val="0"/>
                <w:sz w:val="28"/>
                <w:szCs w:val="28"/>
                <w:highlight w:val="none"/>
              </w:rPr>
              <w:t>**</w:t>
            </w:r>
            <w:r>
              <w:rPr>
                <w:rFonts w:eastAsia="方正楷体_GBK"/>
                <w:spacing w:val="-2"/>
                <w:kern w:val="0"/>
                <w:sz w:val="28"/>
                <w:szCs w:val="28"/>
                <w:highlight w:val="none"/>
              </w:rPr>
              <w:t>个，培育苎麻新品种</w:t>
            </w:r>
            <w:r>
              <w:rPr>
                <w:rFonts w:eastAsia="方正楷体_GBK"/>
                <w:kern w:val="0"/>
                <w:sz w:val="28"/>
                <w:szCs w:val="28"/>
                <w:highlight w:val="none"/>
              </w:rPr>
              <w:t>**</w:t>
            </w:r>
            <w:r>
              <w:rPr>
                <w:rFonts w:eastAsia="方正楷体_GBK"/>
                <w:spacing w:val="-2"/>
                <w:kern w:val="0"/>
                <w:sz w:val="28"/>
                <w:szCs w:val="28"/>
                <w:highlight w:val="none"/>
              </w:rPr>
              <w:t>个以上，认定四川省药用植物新品种</w:t>
            </w:r>
            <w:r>
              <w:rPr>
                <w:rFonts w:eastAsia="方正楷体_GBK"/>
                <w:kern w:val="0"/>
                <w:sz w:val="28"/>
                <w:szCs w:val="28"/>
                <w:highlight w:val="none"/>
              </w:rPr>
              <w:t>**</w:t>
            </w:r>
            <w:r>
              <w:rPr>
                <w:rFonts w:eastAsia="方正楷体_GBK"/>
                <w:spacing w:val="-2"/>
                <w:kern w:val="0"/>
                <w:sz w:val="28"/>
                <w:szCs w:val="28"/>
                <w:highlight w:val="none"/>
              </w:rPr>
              <w:t>个。</w:t>
            </w:r>
          </w:p>
          <w:p>
            <w:pPr>
              <w:spacing w:line="500" w:lineRule="exact"/>
              <w:ind w:firstLine="560"/>
              <w:rPr>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保障种子（苗）质量：</w:t>
            </w:r>
            <w:r>
              <w:rPr>
                <w:rFonts w:eastAsia="方正楷体_GBK"/>
                <w:spacing w:val="-2"/>
                <w:kern w:val="0"/>
                <w:sz w:val="28"/>
                <w:szCs w:val="28"/>
                <w:highlight w:val="none"/>
              </w:rPr>
              <w:t>确保全市种子（苗）质量抽查合格率达到</w:t>
            </w:r>
            <w:r>
              <w:rPr>
                <w:rFonts w:eastAsia="方正楷体_GBK"/>
                <w:kern w:val="0"/>
                <w:sz w:val="28"/>
                <w:szCs w:val="28"/>
                <w:highlight w:val="none"/>
              </w:rPr>
              <w:t>**</w:t>
            </w:r>
            <w:r>
              <w:rPr>
                <w:rFonts w:eastAsia="方正楷体_GBK"/>
                <w:spacing w:val="-2"/>
                <w:kern w:val="0"/>
                <w:sz w:val="28"/>
                <w:szCs w:val="28"/>
                <w:highlight w:val="none"/>
              </w:rPr>
              <w:t>%以上，不发生重大质量事故。</w:t>
            </w:r>
          </w:p>
        </w:tc>
      </w:tr>
    </w:tbl>
    <w:p>
      <w:pPr>
        <w:ind w:firstLine="640"/>
        <w:outlineLvl w:val="3"/>
        <w:rPr>
          <w:rFonts w:eastAsia="方正楷体_GBK"/>
          <w:szCs w:val="32"/>
          <w:highlight w:val="none"/>
        </w:rPr>
      </w:pPr>
      <w:r>
        <w:rPr>
          <w:rFonts w:eastAsia="方正楷体_GBK"/>
          <w:szCs w:val="32"/>
          <w:highlight w:val="none"/>
        </w:rPr>
        <w:t>（二）现代农业装备</w:t>
      </w:r>
    </w:p>
    <w:p>
      <w:pPr>
        <w:ind w:firstLine="640"/>
        <w:rPr>
          <w:highlight w:val="none"/>
        </w:rPr>
      </w:pPr>
      <w:r>
        <w:rPr>
          <w:highlight w:val="none"/>
        </w:rPr>
        <w:t>加快推进《达州市现代农业装备产业转型升级推进方案》落地落实。围绕耕、种、防、收、烘等主要环节，加快建立“科研院所（大专院校）+企业+合作社+基地”协同创新、联合攻关新机制，重点支持全市现代农业“9+3”产业体系缺门断档现代农机装备研发。引进培育一批农业装备制造、服务龙头企业，重点发展适应丘陵山区作业的中小型农机以及适应特色农作物生产、特色养殖需要的高效专用农机。支持龙头企业带动形成集生产、作业、培训为一体的“全程机械化+综合农事”服务中心。开展“宜机化”扩面提升和“五良融合”为牵引的全程机械化创建技术集成行动。实施农业机械化和信息化技术创新工程，推动农机农艺融合、机械化信息化融合。支持引进一批适用的智能化农机装备和技术，建设“互联网+农机作业”信息化平台，推广农机远程运维管理服务。建设一批现代农业园区数字农业试点工程，开展物联网、大数据、遥感等技术在农业生产、管理环节的应用示范。</w:t>
      </w:r>
    </w:p>
    <w:p>
      <w:pPr>
        <w:ind w:firstLine="0" w:firstLineChars="0"/>
        <w:jc w:val="center"/>
        <w:rPr>
          <w:rFonts w:eastAsia="方正黑体_GBK"/>
          <w:bCs/>
          <w:szCs w:val="32"/>
          <w:highlight w:val="none"/>
        </w:rPr>
      </w:pPr>
      <w:r>
        <w:rPr>
          <w:rFonts w:eastAsia="方正黑体_GBK"/>
          <w:bCs/>
          <w:szCs w:val="32"/>
          <w:highlight w:val="none"/>
        </w:rPr>
        <w:t>专栏12  现代农业装备发展重点项目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宋体"/>
                <w:bCs/>
                <w:snapToGrid w:val="0"/>
                <w:color w:val="000000"/>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农机科技创新能力建设：</w:t>
            </w:r>
            <w:r>
              <w:rPr>
                <w:rFonts w:eastAsia="方正楷体_GBK"/>
                <w:sz w:val="28"/>
                <w:szCs w:val="28"/>
                <w:highlight w:val="none"/>
              </w:rPr>
              <w:t>支持企业、合作社与科研院所共同开展农业装备科研项目。加大农业企业招商，重点培育“小巨人·成长型”企业、“专精特新”中小农机制造企业。</w:t>
            </w:r>
          </w:p>
          <w:p>
            <w:pPr>
              <w:spacing w:line="500" w:lineRule="exact"/>
              <w:ind w:firstLine="560"/>
              <w:jc w:val="left"/>
              <w:rPr>
                <w:rFonts w:eastAsia="方正黑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强化农机</w:t>
            </w:r>
            <w:r>
              <w:rPr>
                <w:rFonts w:eastAsia="方正黑体简体"/>
                <w:sz w:val="28"/>
                <w:szCs w:val="28"/>
                <w:highlight w:val="none"/>
              </w:rPr>
              <w:t>购置补贴</w:t>
            </w:r>
            <w:r>
              <w:rPr>
                <w:rFonts w:eastAsia="方正黑体_GBK"/>
                <w:sz w:val="28"/>
                <w:szCs w:val="28"/>
                <w:highlight w:val="none"/>
              </w:rPr>
              <w:t>：</w:t>
            </w:r>
            <w:r>
              <w:rPr>
                <w:rFonts w:eastAsia="方正楷体_GBK"/>
                <w:sz w:val="28"/>
                <w:szCs w:val="28"/>
                <w:highlight w:val="none"/>
              </w:rPr>
              <w:t>全面贯彻落实国家农机购置补贴政策，开展农机购置补贴综合奖补、新产品补贴试点，对主要农作物机械化作业薄弱环节给予补贴，推进农机报废更新补贴政策落地落实。</w:t>
            </w:r>
          </w:p>
        </w:tc>
      </w:tr>
    </w:tbl>
    <w:p>
      <w:pPr>
        <w:ind w:firstLine="640"/>
        <w:outlineLvl w:val="3"/>
        <w:rPr>
          <w:rFonts w:eastAsia="方正楷体_GBK"/>
          <w:szCs w:val="32"/>
          <w:highlight w:val="none"/>
        </w:rPr>
      </w:pPr>
      <w:r>
        <w:rPr>
          <w:rFonts w:eastAsia="方正楷体_GBK"/>
          <w:szCs w:val="32"/>
          <w:highlight w:val="none"/>
        </w:rPr>
        <w:t>（三）现代农业烘干冷链物流</w:t>
      </w:r>
    </w:p>
    <w:p>
      <w:pPr>
        <w:ind w:firstLine="640"/>
        <w:rPr>
          <w:highlight w:val="none"/>
        </w:rPr>
      </w:pPr>
      <w:r>
        <w:rPr>
          <w:highlight w:val="none"/>
        </w:rPr>
        <w:t>加快推进《达州市现代农业烘干冷链物流体系建设推进方案》落地落实。坚持内培外引相结合，培育一批具有较强综合实力的烘干冷链物流供应链服务企业和第三方物流平台企业，打造以分级包装、烘干预冷仓储、流通加工、集散批发为主的农产品烘干冷链物流集群。鼓励大中型烘干冷链物流企业下沉业务，为优势特色产业和现代农业园区等量身定制烘干冷链物流服务。创新烘干冷链物流运营模式，开展多品种经营和跨产业跨区域合作。支持中小农产品烘干冷链物流企业转型升级发展，完善和延伸服务功能，创新个性化服务，满足多样化冷链物流市场需要。鼓励行业协会、烘干冷链物流企业制定企业标准，形成贯穿农产品烘干冷链物流全链条的标准化体系。建设链条齐全的农产品冷链物流信息监管平台，加强数据信息互联互通和开放共享。强化烘干冷链物流管理人才、技术人员和一线操作人员队伍建设。</w:t>
      </w:r>
    </w:p>
    <w:p>
      <w:pPr>
        <w:ind w:firstLine="0" w:firstLineChars="0"/>
        <w:jc w:val="center"/>
        <w:rPr>
          <w:rFonts w:eastAsia="方正黑体_GBK"/>
          <w:bCs/>
          <w:szCs w:val="32"/>
          <w:highlight w:val="none"/>
        </w:rPr>
      </w:pPr>
      <w:r>
        <w:rPr>
          <w:rFonts w:eastAsia="方正黑体_GBK"/>
          <w:bCs/>
          <w:szCs w:val="32"/>
          <w:highlight w:val="none"/>
        </w:rPr>
        <w:t>专栏13  现代农业烘干冷链物流发展重点项目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pacing w:val="-2"/>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运营主体培育：</w:t>
            </w:r>
            <w:r>
              <w:rPr>
                <w:rFonts w:eastAsia="方正楷体_GBK"/>
                <w:spacing w:val="-2"/>
                <w:kern w:val="0"/>
                <w:sz w:val="28"/>
                <w:szCs w:val="28"/>
                <w:highlight w:val="none"/>
              </w:rPr>
              <w:t>支持中小农产品烘干冷链物流企业转型升级发展，培育一批具有较强综合实力的烘干冷链物流供应链服务企业和第三方物流平台企业，鼓励龙头企业等新型农业经营主体和集体经济组织利用自建烘干冷链物流设施设备，为农户和其他新型农业经营主体提供服务。</w:t>
            </w:r>
          </w:p>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支撑工程打造：</w:t>
            </w:r>
            <w:r>
              <w:rPr>
                <w:rFonts w:eastAsia="方正楷体_GBK"/>
                <w:kern w:val="0"/>
                <w:sz w:val="28"/>
                <w:szCs w:val="28"/>
                <w:highlight w:val="none"/>
              </w:rPr>
              <w:t>推进农产品烘干冷链物流标准化体系推进工程、农产品烘干冷链物流信息服务平台建设工程和农产品烘干冷链物流体系基础人才支撑工程</w:t>
            </w:r>
            <w:r>
              <w:rPr>
                <w:kern w:val="0"/>
                <w:sz w:val="28"/>
                <w:szCs w:val="28"/>
                <w:highlight w:val="none"/>
              </w:rPr>
              <w:t>。</w:t>
            </w:r>
          </w:p>
        </w:tc>
      </w:tr>
    </w:tbl>
    <w:p>
      <w:pPr>
        <w:ind w:firstLine="0" w:firstLineChars="0"/>
        <w:jc w:val="center"/>
        <w:outlineLvl w:val="1"/>
        <w:rPr>
          <w:rFonts w:eastAsia="方正黑体_GBK"/>
          <w:bCs/>
          <w:szCs w:val="32"/>
          <w:highlight w:val="none"/>
        </w:rPr>
      </w:pPr>
      <w:bookmarkStart w:id="79" w:name="_Toc73979849"/>
      <w:bookmarkStart w:id="80" w:name="_Toc72746635"/>
      <w:r>
        <w:rPr>
          <w:rFonts w:eastAsia="方正黑体_GBK"/>
          <w:bCs/>
          <w:szCs w:val="32"/>
          <w:highlight w:val="none"/>
        </w:rPr>
        <w:t>第三章  推进一二三产业融合发展，加快产业体系现代化</w:t>
      </w:r>
      <w:bookmarkEnd w:id="79"/>
      <w:bookmarkEnd w:id="80"/>
    </w:p>
    <w:p>
      <w:pPr>
        <w:pStyle w:val="5"/>
        <w:rPr>
          <w:rFonts w:ascii="Times New Roman"/>
          <w:highlight w:val="none"/>
        </w:rPr>
      </w:pPr>
      <w:bookmarkStart w:id="81" w:name="_Toc72746636"/>
      <w:bookmarkStart w:id="82" w:name="_Toc73979850"/>
      <w:r>
        <w:rPr>
          <w:rFonts w:ascii="Times New Roman"/>
          <w:highlight w:val="none"/>
        </w:rPr>
        <w:t>第一节  延伸产业链，做强农产品加工业</w:t>
      </w:r>
      <w:bookmarkEnd w:id="81"/>
      <w:bookmarkEnd w:id="82"/>
    </w:p>
    <w:p>
      <w:pPr>
        <w:ind w:firstLine="640"/>
        <w:rPr>
          <w:szCs w:val="32"/>
          <w:highlight w:val="none"/>
        </w:rPr>
      </w:pPr>
      <w:r>
        <w:rPr>
          <w:rFonts w:eastAsia="方正楷体_GBK"/>
          <w:bCs/>
          <w:szCs w:val="32"/>
          <w:highlight w:val="none"/>
        </w:rPr>
        <w:t>推进农产品加工园建设。</w:t>
      </w:r>
      <w:r>
        <w:rPr>
          <w:szCs w:val="32"/>
          <w:highlight w:val="none"/>
        </w:rPr>
        <w:t>以“粮头食尾”“农头工尾”为抓手，培育创新链、拓展产业链、提升价值链，打造农产品千亿产业集群，重点发展粮油加工、畜禽制品加工、富硒茶叶加工、特色果蔬加工、苎麻加工和中药材加工，提高农产品加工转化率，建设一批农产品加工园区，打造面向全国、辐射秦巴地区的国家优质农产品精深加工示范基地。</w:t>
      </w:r>
      <w:r>
        <w:rPr>
          <w:highlight w:val="none"/>
        </w:rPr>
        <w:t>到2025年，全市农产品产地初加工率达</w:t>
      </w:r>
      <w:r>
        <w:rPr>
          <w:rFonts w:eastAsia="方正楷体_GBK"/>
          <w:kern w:val="0"/>
          <w:sz w:val="28"/>
          <w:szCs w:val="28"/>
          <w:highlight w:val="none"/>
        </w:rPr>
        <w:t>**</w:t>
      </w:r>
      <w:r>
        <w:rPr>
          <w:highlight w:val="none"/>
        </w:rPr>
        <w:t>%以上，农产品加工业与农业总产值比达到</w:t>
      </w:r>
      <w:r>
        <w:rPr>
          <w:rFonts w:eastAsia="方正楷体_GBK"/>
          <w:kern w:val="0"/>
          <w:sz w:val="28"/>
          <w:szCs w:val="28"/>
          <w:highlight w:val="none"/>
        </w:rPr>
        <w:t>**</w:t>
      </w:r>
      <w:r>
        <w:rPr>
          <w:highlight w:val="none"/>
        </w:rPr>
        <w:t>：1。</w:t>
      </w:r>
    </w:p>
    <w:p>
      <w:pPr>
        <w:ind w:firstLine="616"/>
        <w:rPr>
          <w:spacing w:val="-6"/>
          <w:szCs w:val="32"/>
          <w:highlight w:val="none"/>
        </w:rPr>
      </w:pPr>
      <w:r>
        <w:rPr>
          <w:rFonts w:eastAsia="方正楷体_GBK"/>
          <w:bCs/>
          <w:spacing w:val="-6"/>
          <w:szCs w:val="32"/>
          <w:highlight w:val="none"/>
        </w:rPr>
        <w:t>加大招商引资工作力度。</w:t>
      </w:r>
      <w:r>
        <w:rPr>
          <w:spacing w:val="-6"/>
          <w:szCs w:val="32"/>
          <w:highlight w:val="none"/>
        </w:rPr>
        <w:t>坚持招大引强和集群发展，紧盯“三类500强”为代表的龙头企业，以项目建设为抓手，优化招商引资环境，大力开展精品招商、精准招商，重点引进一批对我市产业结构调整有影响力的精深加工龙头企业，加快引进一批综合利用加工企业，强化农产品加工全产业链有机衔接。开展加工企业培育提升行动，做大做强一批龙头企业，强化中小企业梯度培育。</w:t>
      </w:r>
    </w:p>
    <w:p>
      <w:pPr>
        <w:ind w:firstLine="640"/>
        <w:rPr>
          <w:szCs w:val="32"/>
          <w:highlight w:val="none"/>
        </w:rPr>
      </w:pPr>
      <w:r>
        <w:rPr>
          <w:rFonts w:eastAsia="方正楷体_GBK"/>
          <w:bCs/>
          <w:szCs w:val="32"/>
          <w:highlight w:val="none"/>
        </w:rPr>
        <w:t>强化农产品加工科技创新。</w:t>
      </w:r>
      <w:r>
        <w:rPr>
          <w:szCs w:val="32"/>
          <w:highlight w:val="none"/>
        </w:rPr>
        <w:t>支持企业技术中心、产学研协同创新平台建设，不断完善农产品加工技术研发体系。鼓励农产品加工龙头企业与省内外科研机构、高等院所联合组建农产品加工研发中心，支持农产品加工企业建立院士工作站，集中攻克一批农产品加工重大关键技术难题。支持企业开展自主创新、技术改造，</w:t>
      </w:r>
      <w:r>
        <w:rPr>
          <w:bCs/>
          <w:szCs w:val="32"/>
          <w:highlight w:val="none"/>
        </w:rPr>
        <w:t>大力开发个性化、功能化产品。</w:t>
      </w:r>
      <w:r>
        <w:rPr>
          <w:szCs w:val="32"/>
          <w:highlight w:val="none"/>
        </w:rPr>
        <w:t>统筹推进农产品精深加工与初加工、食品饮料与工艺纪念品加工，提高农产品综合利用率。</w:t>
      </w:r>
    </w:p>
    <w:p>
      <w:pPr>
        <w:ind w:firstLine="0" w:firstLineChars="0"/>
        <w:jc w:val="center"/>
        <w:rPr>
          <w:rFonts w:eastAsia="方正黑体_GBK"/>
          <w:bCs/>
          <w:szCs w:val="32"/>
          <w:highlight w:val="none"/>
        </w:rPr>
      </w:pPr>
      <w:r>
        <w:rPr>
          <w:rFonts w:eastAsia="方正黑体_GBK"/>
          <w:bCs/>
          <w:szCs w:val="32"/>
          <w:highlight w:val="none"/>
        </w:rPr>
        <w:t>专栏14  农产品加工重点项目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粮油加工：</w:t>
            </w:r>
            <w:r>
              <w:rPr>
                <w:rFonts w:eastAsia="方正楷体_GBK"/>
                <w:kern w:val="0"/>
                <w:sz w:val="28"/>
                <w:szCs w:val="28"/>
                <w:highlight w:val="none"/>
              </w:rPr>
              <w:t>重点开展菜籽油、橄榄油、玉米油、营养强化米、高纯度米蛋白、医药用酵母、食品用薯片等产品开发生产。重点实施日产300吨大米和日产300吨油脂加工项目、汤圆速冻食品加工项目建设。</w:t>
            </w:r>
          </w:p>
          <w:p>
            <w:pPr>
              <w:spacing w:line="500" w:lineRule="exact"/>
              <w:ind w:firstLine="560"/>
              <w:jc w:val="left"/>
              <w:rPr>
                <w:rFonts w:eastAsia="方正楷体_GBK"/>
                <w:spacing w:val="-6"/>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spacing w:val="-6"/>
                <w:kern w:val="0"/>
                <w:sz w:val="28"/>
                <w:szCs w:val="28"/>
                <w:highlight w:val="none"/>
              </w:rPr>
              <w:t>畜禽制品加工：</w:t>
            </w:r>
            <w:r>
              <w:rPr>
                <w:rFonts w:eastAsia="方正楷体_GBK"/>
                <w:spacing w:val="-6"/>
                <w:kern w:val="0"/>
                <w:sz w:val="28"/>
                <w:szCs w:val="28"/>
                <w:highlight w:val="none"/>
              </w:rPr>
              <w:t>重点开展熟肉食品、功能性畜禽制品和其他高附加值产品生产。重点实施300万头生猪精深加工全产业链项目建设。</w:t>
            </w:r>
          </w:p>
          <w:p>
            <w:pPr>
              <w:spacing w:line="500" w:lineRule="exact"/>
              <w:ind w:firstLine="560"/>
              <w:jc w:val="left"/>
              <w:rPr>
                <w:rFonts w:eastAsia="方正楷体_GBK"/>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富硒茶叶加工：</w:t>
            </w:r>
            <w:r>
              <w:rPr>
                <w:rFonts w:eastAsia="方正楷体_GBK"/>
                <w:kern w:val="0"/>
                <w:sz w:val="28"/>
                <w:szCs w:val="28"/>
                <w:highlight w:val="none"/>
              </w:rPr>
              <w:t>重点开展茶饮品、茶提取物产品、茶叶籽油等产品开发。重点实施高山生态富硒茶综合加工及茶旅融合发展项目和优质白茶基地建设及精深加工项目建设。</w:t>
            </w:r>
          </w:p>
          <w:p>
            <w:pPr>
              <w:spacing w:line="500" w:lineRule="exact"/>
              <w:ind w:firstLine="560"/>
              <w:jc w:val="left"/>
              <w:rPr>
                <w:rFonts w:eastAsia="方正楷体_GBK"/>
                <w:spacing w:val="-6"/>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spacing w:val="-6"/>
                <w:kern w:val="0"/>
                <w:sz w:val="28"/>
                <w:szCs w:val="28"/>
                <w:highlight w:val="none"/>
              </w:rPr>
              <w:t>特色果蔬加工：</w:t>
            </w:r>
            <w:r>
              <w:rPr>
                <w:rFonts w:eastAsia="方正楷体_GBK"/>
                <w:spacing w:val="-6"/>
                <w:kern w:val="0"/>
                <w:sz w:val="28"/>
                <w:szCs w:val="28"/>
                <w:highlight w:val="none"/>
              </w:rPr>
              <w:t>重点开展果蔬加工食品、油橄榄系列产品、乌梅系列产品、黄花系列产品、竹笋及香椿系列产品开发生产。</w:t>
            </w:r>
          </w:p>
          <w:p>
            <w:pPr>
              <w:spacing w:line="500" w:lineRule="exact"/>
              <w:ind w:firstLine="560"/>
              <w:jc w:val="left"/>
              <w:rPr>
                <w:rFonts w:eastAsia="方正楷体_GBK"/>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苎麻加工：</w:t>
            </w:r>
            <w:r>
              <w:rPr>
                <w:rFonts w:eastAsia="方正楷体_GBK"/>
                <w:kern w:val="0"/>
                <w:sz w:val="28"/>
                <w:szCs w:val="28"/>
                <w:highlight w:val="none"/>
              </w:rPr>
              <w:t>重点开展苎麻专用生物肥、苎麻蛋白饲料、苎麻食用菌基质等生产。</w:t>
            </w:r>
          </w:p>
          <w:p>
            <w:pPr>
              <w:spacing w:line="500" w:lineRule="exact"/>
              <w:ind w:firstLine="560"/>
              <w:jc w:val="left"/>
              <w:rPr>
                <w:rFonts w:eastAsia="方正楷体_GBK"/>
                <w:kern w:val="0"/>
                <w:sz w:val="28"/>
                <w:szCs w:val="28"/>
                <w:highlight w:val="none"/>
              </w:rPr>
            </w:pPr>
            <w:r>
              <w:rPr>
                <w:rFonts w:cs="Cambria Math" w:asciiTheme="minorEastAsia" w:hAnsiTheme="minorEastAsia" w:eastAsiaTheme="minorEastAsia"/>
                <w:bCs/>
                <w:snapToGrid w:val="0"/>
                <w:color w:val="000000"/>
                <w:kern w:val="0"/>
                <w:sz w:val="28"/>
                <w:szCs w:val="28"/>
                <w:highlight w:val="none"/>
              </w:rPr>
              <w:t>◆</w:t>
            </w:r>
            <w:r>
              <w:rPr>
                <w:rFonts w:eastAsia="方正黑体_GBK"/>
                <w:kern w:val="0"/>
                <w:sz w:val="28"/>
                <w:szCs w:val="28"/>
                <w:highlight w:val="none"/>
              </w:rPr>
              <w:t>中药材加工：</w:t>
            </w:r>
            <w:r>
              <w:rPr>
                <w:rFonts w:eastAsia="方正楷体_GBK"/>
                <w:kern w:val="0"/>
                <w:sz w:val="28"/>
                <w:szCs w:val="28"/>
                <w:highlight w:val="none"/>
              </w:rPr>
              <w:t>重点开展新型中药饮片、中药保健食品、农副产品等研发生产。</w:t>
            </w:r>
          </w:p>
          <w:p>
            <w:pPr>
              <w:spacing w:line="500" w:lineRule="exact"/>
              <w:ind w:firstLine="560"/>
              <w:jc w:val="left"/>
              <w:rPr>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农业全产业链培育：</w:t>
            </w:r>
            <w:r>
              <w:rPr>
                <w:rFonts w:eastAsia="方正楷体_GBK"/>
                <w:kern w:val="0"/>
                <w:sz w:val="28"/>
                <w:szCs w:val="28"/>
                <w:highlight w:val="none"/>
              </w:rPr>
              <w:t>支持农业产业化龙头企业担任“链主”，组织育种育苗、生产基地、仓储设施、服务机构、电商平台等各类经营主体，一体打造农业全产业链，积极创建全国农业全产业链重点链和全国农业全产业链典型县。</w:t>
            </w:r>
          </w:p>
        </w:tc>
      </w:tr>
    </w:tbl>
    <w:p>
      <w:pPr>
        <w:pStyle w:val="5"/>
        <w:rPr>
          <w:rFonts w:ascii="Times New Roman"/>
          <w:highlight w:val="none"/>
        </w:rPr>
      </w:pPr>
      <w:bookmarkStart w:id="83" w:name="_Toc72746637"/>
      <w:bookmarkStart w:id="84" w:name="_Toc73979851"/>
      <w:r>
        <w:rPr>
          <w:rFonts w:ascii="Times New Roman"/>
          <w:highlight w:val="none"/>
        </w:rPr>
        <w:t>第二节  贯通供应链，完善</w:t>
      </w:r>
      <w:bookmarkStart w:id="85" w:name="_Hlk71213447"/>
      <w:r>
        <w:rPr>
          <w:rFonts w:ascii="Times New Roman"/>
          <w:highlight w:val="none"/>
        </w:rPr>
        <w:t>烘干冷链物流体系</w:t>
      </w:r>
      <w:bookmarkEnd w:id="83"/>
      <w:bookmarkEnd w:id="84"/>
    </w:p>
    <w:bookmarkEnd w:id="85"/>
    <w:p>
      <w:pPr>
        <w:ind w:firstLine="640"/>
        <w:rPr>
          <w:highlight w:val="none"/>
        </w:rPr>
      </w:pPr>
      <w:r>
        <w:rPr>
          <w:rFonts w:eastAsia="方正楷体_GBK"/>
          <w:bCs/>
          <w:szCs w:val="32"/>
          <w:highlight w:val="none"/>
        </w:rPr>
        <w:t>推进冷链物流基础设施建设。</w:t>
      </w:r>
      <w:r>
        <w:rPr>
          <w:szCs w:val="32"/>
          <w:highlight w:val="none"/>
        </w:rPr>
        <w:t>聚焦粮油、畜禽、水果、蔬菜等优势特色产业，统筹农产品仓储冷链物流基础设施设备建设。</w:t>
      </w:r>
      <w:r>
        <w:rPr>
          <w:highlight w:val="none"/>
        </w:rPr>
        <w:t>支持各县（市、区）按照“1+N”的模式（1即1个县级农产品区域性仓储保鲜冷链物流基地，N即多个乡村级农产品产地仓储冷链物流集配中心）开展农产品仓储冷链物流示范县建设。支持县（市、区）国有平台公司或运营主体配备移动式烘干配套设备、冷库、冷藏车。支持新型农业经营主体、烘干冷链物流运营主体加快烘干、预冷、冷藏冷冻保鲜、冷链运输等基础设施建设。完善与烘干冷链物流相配套的查验与检测基础设施建设。</w:t>
      </w:r>
    </w:p>
    <w:p>
      <w:pPr>
        <w:ind w:firstLine="640"/>
        <w:rPr>
          <w:szCs w:val="32"/>
          <w:highlight w:val="none"/>
        </w:rPr>
      </w:pPr>
      <w:r>
        <w:rPr>
          <w:rFonts w:eastAsia="方正楷体_GBK"/>
          <w:bCs/>
          <w:szCs w:val="32"/>
          <w:highlight w:val="none"/>
        </w:rPr>
        <w:t>提升冷链物流数字化水平。</w:t>
      </w:r>
      <w:r>
        <w:rPr>
          <w:szCs w:val="32"/>
          <w:highlight w:val="none"/>
        </w:rPr>
        <w:t>大力推进烘干冷链物流数字化建设，支持企业运用5G、区块链、物联网、大数据、无线射频、云计算等现代化信息技术，构建供应物流信息服务平台，提升冷链物流数字化、自动化、智能化、标准化服务水平。</w:t>
      </w:r>
    </w:p>
    <w:p>
      <w:pPr>
        <w:ind w:firstLine="640"/>
        <w:jc w:val="left"/>
        <w:rPr>
          <w:szCs w:val="32"/>
          <w:highlight w:val="none"/>
        </w:rPr>
      </w:pPr>
      <w:r>
        <w:rPr>
          <w:rFonts w:eastAsia="方正楷体_GBK"/>
          <w:bCs/>
          <w:szCs w:val="32"/>
          <w:highlight w:val="none"/>
        </w:rPr>
        <w:t>创新农产品新型流通业态。</w:t>
      </w:r>
      <w:r>
        <w:rPr>
          <w:szCs w:val="32"/>
          <w:highlight w:val="none"/>
        </w:rPr>
        <w:t>加快发展“互联网+农业”平台，依托电视、抖音、快手等传播方式，推进线上线下联动、多维立体营销，不断拓宽农产品销售渠道。鼓励各类农业经营主体合作建立现代农业供应链体系，完善升级县乡村三级物流配送体系，解决农产品产地“最先一公里”和城市配送“最后一公里”问题，支持发展直销配送、连锁经营、农超、农社、农企、农校等产销对接的新型流通业态。</w:t>
      </w:r>
    </w:p>
    <w:p>
      <w:pPr>
        <w:ind w:firstLine="0" w:firstLineChars="0"/>
        <w:jc w:val="center"/>
        <w:rPr>
          <w:rFonts w:eastAsia="方正黑体_GBK"/>
          <w:bCs/>
          <w:szCs w:val="32"/>
          <w:highlight w:val="none"/>
        </w:rPr>
      </w:pPr>
      <w:r>
        <w:rPr>
          <w:rFonts w:eastAsia="方正黑体_GBK"/>
          <w:bCs/>
          <w:szCs w:val="32"/>
          <w:highlight w:val="none"/>
        </w:rPr>
        <w:t>专栏15  烘干冷链物流体系建设重点项目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基础设施建设：</w:t>
            </w:r>
            <w:r>
              <w:rPr>
                <w:rFonts w:hint="eastAsia" w:eastAsia="方正楷体_GBK"/>
                <w:kern w:val="0"/>
                <w:sz w:val="28"/>
                <w:szCs w:val="28"/>
                <w:highlight w:val="none"/>
              </w:rPr>
              <w:t>围绕</w:t>
            </w:r>
            <w:r>
              <w:rPr>
                <w:rFonts w:eastAsia="方正楷体_GBK"/>
                <w:kern w:val="0"/>
                <w:sz w:val="28"/>
                <w:szCs w:val="28"/>
                <w:highlight w:val="none"/>
              </w:rPr>
              <w:t>9大特色优势产业，支持各县（市、区）建设农产品仓储冷链物流推进示范县。到2025年建成现代农产品冷链物流集配中心</w:t>
            </w:r>
            <w:r>
              <w:rPr>
                <w:rFonts w:eastAsia="方正楷体_GBK"/>
                <w:kern w:val="0"/>
                <w:sz w:val="28"/>
                <w:szCs w:val="28"/>
                <w:highlight w:val="none"/>
              </w:rPr>
              <w:t>**</w:t>
            </w:r>
            <w:r>
              <w:rPr>
                <w:rFonts w:eastAsia="方正楷体_GBK"/>
                <w:kern w:val="0"/>
                <w:sz w:val="28"/>
                <w:szCs w:val="28"/>
                <w:highlight w:val="none"/>
              </w:rPr>
              <w:t>个，全市农产品烘干冷链物流设施日烘干能力达</w:t>
            </w:r>
            <w:r>
              <w:rPr>
                <w:rFonts w:eastAsia="方正楷体_GBK"/>
                <w:kern w:val="0"/>
                <w:sz w:val="28"/>
                <w:szCs w:val="28"/>
                <w:highlight w:val="none"/>
              </w:rPr>
              <w:t>**</w:t>
            </w:r>
            <w:r>
              <w:rPr>
                <w:rFonts w:eastAsia="方正楷体_GBK"/>
                <w:kern w:val="0"/>
                <w:sz w:val="28"/>
                <w:szCs w:val="28"/>
                <w:highlight w:val="none"/>
              </w:rPr>
              <w:t>万吨，冷冻（藏</w:t>
            </w:r>
            <w:r>
              <w:rPr>
                <w:rFonts w:eastAsia="___WRD_EMBED_SUB_44"/>
                <w:kern w:val="0"/>
                <w:sz w:val="28"/>
                <w:szCs w:val="28"/>
                <w:highlight w:val="none"/>
              </w:rPr>
              <w:t>）</w:t>
            </w:r>
            <w:r>
              <w:rPr>
                <w:rFonts w:eastAsia="方正楷体_GBK"/>
                <w:kern w:val="0"/>
                <w:sz w:val="28"/>
                <w:szCs w:val="28"/>
                <w:highlight w:val="none"/>
              </w:rPr>
              <w:t>库保有量达</w:t>
            </w:r>
            <w:r>
              <w:rPr>
                <w:rFonts w:eastAsia="方正楷体_GBK"/>
                <w:kern w:val="0"/>
                <w:sz w:val="28"/>
                <w:szCs w:val="28"/>
                <w:highlight w:val="none"/>
              </w:rPr>
              <w:t>**</w:t>
            </w:r>
            <w:r>
              <w:rPr>
                <w:rFonts w:eastAsia="方正楷体_GBK"/>
                <w:kern w:val="0"/>
                <w:sz w:val="28"/>
                <w:szCs w:val="28"/>
                <w:highlight w:val="none"/>
              </w:rPr>
              <w:t>座，冷链物流静态库容达</w:t>
            </w:r>
            <w:r>
              <w:rPr>
                <w:rFonts w:eastAsia="方正楷体_GBK"/>
                <w:kern w:val="0"/>
                <w:sz w:val="28"/>
                <w:szCs w:val="28"/>
                <w:highlight w:val="none"/>
              </w:rPr>
              <w:t>**</w:t>
            </w:r>
            <w:r>
              <w:rPr>
                <w:rFonts w:eastAsia="方正楷体_GBK"/>
                <w:kern w:val="0"/>
                <w:sz w:val="28"/>
                <w:szCs w:val="28"/>
                <w:highlight w:val="none"/>
              </w:rPr>
              <w:t>万吨。</w:t>
            </w:r>
          </w:p>
          <w:p>
            <w:pPr>
              <w:spacing w:line="500" w:lineRule="exact"/>
              <w:ind w:firstLine="560"/>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救急应急队组建：</w:t>
            </w:r>
            <w:r>
              <w:rPr>
                <w:rFonts w:eastAsia="方正楷体_GBK"/>
                <w:kern w:val="0"/>
                <w:sz w:val="28"/>
                <w:szCs w:val="28"/>
                <w:highlight w:val="none"/>
              </w:rPr>
              <w:t>选择一定数量具有良好冷链物流设施设备基础和具备全市性冷链物流业务能力，并集农产品收储、营销于一体的企业与新型经营主体，组织成立农产品冷链物流救急应急队伍。</w:t>
            </w:r>
          </w:p>
        </w:tc>
      </w:tr>
    </w:tbl>
    <w:p>
      <w:pPr>
        <w:pStyle w:val="5"/>
        <w:rPr>
          <w:rFonts w:ascii="Times New Roman"/>
          <w:highlight w:val="none"/>
        </w:rPr>
      </w:pPr>
      <w:bookmarkStart w:id="86" w:name="_Toc72746638"/>
      <w:bookmarkStart w:id="87" w:name="_Toc73979852"/>
      <w:r>
        <w:rPr>
          <w:rFonts w:ascii="Times New Roman"/>
          <w:highlight w:val="none"/>
        </w:rPr>
        <w:t>第三节  提升价值链，发展农村新产业新业态</w:t>
      </w:r>
      <w:bookmarkEnd w:id="86"/>
      <w:bookmarkEnd w:id="87"/>
    </w:p>
    <w:p>
      <w:pPr>
        <w:ind w:firstLine="640"/>
        <w:rPr>
          <w:szCs w:val="32"/>
          <w:highlight w:val="none"/>
        </w:rPr>
      </w:pPr>
      <w:r>
        <w:rPr>
          <w:rFonts w:eastAsia="方正楷体_GBK"/>
          <w:bCs/>
          <w:szCs w:val="32"/>
          <w:highlight w:val="none"/>
        </w:rPr>
        <w:t>推动一三产深度融合发展。</w:t>
      </w:r>
      <w:r>
        <w:rPr>
          <w:szCs w:val="32"/>
          <w:highlight w:val="none"/>
        </w:rPr>
        <w:t>着力推进“一县一业”“一乡一品”产业发展格局，打造农业产业强镇。</w:t>
      </w:r>
      <w:r>
        <w:rPr>
          <w:highlight w:val="none"/>
        </w:rPr>
        <w:t>充分挖掘</w:t>
      </w:r>
      <w:r>
        <w:rPr>
          <w:szCs w:val="32"/>
          <w:highlight w:val="none"/>
        </w:rPr>
        <w:t>生态旅游资源、特色农业资源和乡村文化资源，创新农业新业态新模式，推进农业与旅游、教育、文化、体育、养生、养老等产业深度融合。实施休闲农业和乡村旅游精品工程，建设田园观光综合体、森林人家、休闲农庄、水乡渔村、乡村民宿、康养基地，加快实施八台山、黑宝山、铁山、明月山系康养民宿群建设，打造大巴山南麓生态康养旅游目的地，推进北部康养避暑度假、东南部城郊休闲两类乡村旅游示范项目建设，建成一批乡村旅游景区和乡村旅游点。</w:t>
      </w:r>
    </w:p>
    <w:p>
      <w:pPr>
        <w:ind w:firstLine="640"/>
        <w:rPr>
          <w:szCs w:val="32"/>
          <w:highlight w:val="none"/>
        </w:rPr>
      </w:pPr>
      <w:r>
        <w:rPr>
          <w:rFonts w:eastAsia="方正楷体_GBK"/>
          <w:bCs/>
          <w:szCs w:val="32"/>
          <w:highlight w:val="none"/>
        </w:rPr>
        <w:t>推动农村电商新业态发展。</w:t>
      </w:r>
      <w:r>
        <w:rPr>
          <w:szCs w:val="32"/>
          <w:highlight w:val="none"/>
        </w:rPr>
        <w:t>大力发展电子商务、直播电商等适宜农村发展的现代服务业，构建农产品产地市场体系和网络销售体系，着力推进农产品电商物流配送和综合服务网络建设，加快推进乡（镇）、村电商服务站点建设。大力实施“互联网+农产品”出村进城工程，发展鲜活农产品直供直销、休闲农业网络营销等电商项目，培育一批农业电子商务示范企业和农村电商服务企业，重点建设达州优质特色农产品垂直电商供应链平台，丰富乡村经济业态，拓展农民增收空间，培育乡村发展新动能。</w:t>
      </w:r>
    </w:p>
    <w:p>
      <w:pPr>
        <w:ind w:firstLine="616"/>
        <w:rPr>
          <w:spacing w:val="-6"/>
          <w:szCs w:val="32"/>
          <w:highlight w:val="none"/>
        </w:rPr>
      </w:pPr>
      <w:r>
        <w:rPr>
          <w:rFonts w:eastAsia="方正楷体_GBK"/>
          <w:bCs/>
          <w:spacing w:val="-6"/>
          <w:szCs w:val="32"/>
          <w:highlight w:val="none"/>
        </w:rPr>
        <w:t>创响优势知名农业品牌。</w:t>
      </w:r>
      <w:r>
        <w:rPr>
          <w:szCs w:val="32"/>
          <w:highlight w:val="none"/>
        </w:rPr>
        <w:t>围绕“建设大园区、培育大企业、塑造大品牌”发展思路，聚焦粮油、畜禽</w:t>
      </w:r>
      <w:r>
        <w:rPr>
          <w:spacing w:val="-6"/>
          <w:szCs w:val="32"/>
          <w:highlight w:val="none"/>
        </w:rPr>
        <w:t>、水产、茶果等主导产业，开展品牌主体培育，以“巴山食荟”市级区域公用品牌、“巴山青”“达州贡米”“蜀宣花牛”等行业品牌为重点，构建“1+N+N”（1个区域公用品牌+N个行业品牌+N个产品品牌）品牌体系，通过开设“达州特色农产品”网店（旗舰店），借助农博会、西博会、展销会等渠道，充分利用电商、“互联网+”等新兴手段，培育一批具有较高知名度、美誉度和较强市场竞争力的“达”字号农产品品牌。加大品牌保护力度，维护品牌形象。持续开展品牌宣传，进一步提升品牌知名度和认可度。到2025年，“巴山食荟”品牌价值达</w:t>
      </w:r>
      <w:r>
        <w:rPr>
          <w:rFonts w:eastAsia="方正楷体_GBK"/>
          <w:kern w:val="0"/>
          <w:sz w:val="28"/>
          <w:szCs w:val="28"/>
          <w:highlight w:val="none"/>
        </w:rPr>
        <w:t>**</w:t>
      </w:r>
      <w:r>
        <w:rPr>
          <w:spacing w:val="-6"/>
          <w:szCs w:val="32"/>
          <w:highlight w:val="none"/>
        </w:rPr>
        <w:t>亿元以上。</w:t>
      </w:r>
    </w:p>
    <w:p>
      <w:pPr>
        <w:ind w:firstLine="0" w:firstLineChars="0"/>
        <w:jc w:val="center"/>
        <w:rPr>
          <w:rFonts w:eastAsia="方正黑体_GBK"/>
          <w:bCs/>
          <w:szCs w:val="32"/>
          <w:highlight w:val="none"/>
        </w:rPr>
      </w:pPr>
      <w:r>
        <w:rPr>
          <w:rFonts w:eastAsia="方正黑体_GBK"/>
          <w:bCs/>
          <w:szCs w:val="32"/>
          <w:highlight w:val="none"/>
        </w:rPr>
        <w:t>专栏16  新产业新业态发展重点项目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rPr>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产业强镇：</w:t>
            </w:r>
            <w:r>
              <w:rPr>
                <w:rFonts w:eastAsia="方正楷体_GBK"/>
                <w:kern w:val="0"/>
                <w:sz w:val="28"/>
                <w:szCs w:val="28"/>
                <w:highlight w:val="none"/>
              </w:rPr>
              <w:t>围绕9大特色</w:t>
            </w:r>
            <w:r>
              <w:rPr>
                <w:rFonts w:hint="eastAsia" w:eastAsia="方正楷体_GBK"/>
                <w:kern w:val="0"/>
                <w:sz w:val="28"/>
                <w:szCs w:val="28"/>
                <w:highlight w:val="none"/>
              </w:rPr>
              <w:t>优势</w:t>
            </w:r>
            <w:r>
              <w:rPr>
                <w:rFonts w:eastAsia="方正楷体_GBK"/>
                <w:kern w:val="0"/>
                <w:sz w:val="28"/>
                <w:szCs w:val="28"/>
                <w:highlight w:val="none"/>
              </w:rPr>
              <w:t>产业，培育一批“一村一品”示范村镇，争创国家农业产业强镇</w:t>
            </w:r>
            <w:r>
              <w:rPr>
                <w:rFonts w:eastAsia="方正楷体_GBK"/>
                <w:kern w:val="0"/>
                <w:sz w:val="28"/>
                <w:szCs w:val="28"/>
                <w:highlight w:val="none"/>
              </w:rPr>
              <w:t>**</w:t>
            </w:r>
            <w:r>
              <w:rPr>
                <w:rFonts w:eastAsia="方正楷体_GBK"/>
                <w:kern w:val="0"/>
                <w:sz w:val="28"/>
                <w:szCs w:val="28"/>
                <w:highlight w:val="none"/>
              </w:rPr>
              <w:t>个，培育省级产业强镇</w:t>
            </w:r>
            <w:r>
              <w:rPr>
                <w:rFonts w:eastAsia="方正楷体_GBK"/>
                <w:kern w:val="0"/>
                <w:sz w:val="28"/>
                <w:szCs w:val="28"/>
                <w:highlight w:val="none"/>
              </w:rPr>
              <w:t>**</w:t>
            </w:r>
            <w:r>
              <w:rPr>
                <w:rFonts w:eastAsia="方正楷体_GBK"/>
                <w:kern w:val="0"/>
                <w:sz w:val="28"/>
                <w:szCs w:val="28"/>
                <w:highlight w:val="none"/>
              </w:rPr>
              <w:t>个。</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一三产融合：</w:t>
            </w:r>
            <w:r>
              <w:rPr>
                <w:rFonts w:eastAsia="方正楷体_GBK"/>
                <w:kern w:val="0"/>
                <w:sz w:val="28"/>
                <w:szCs w:val="28"/>
                <w:highlight w:val="none"/>
              </w:rPr>
              <w:t>加快打造乡村旅游精品线路，支持宣汉县巴山大峡谷农文旅融合示范区建设。围绕9大特色</w:t>
            </w:r>
            <w:r>
              <w:rPr>
                <w:rFonts w:hint="eastAsia" w:eastAsia="方正楷体_GBK"/>
                <w:kern w:val="0"/>
                <w:sz w:val="28"/>
                <w:szCs w:val="28"/>
                <w:highlight w:val="none"/>
              </w:rPr>
              <w:t>优势</w:t>
            </w:r>
            <w:r>
              <w:rPr>
                <w:rFonts w:eastAsia="方正楷体_GBK"/>
                <w:kern w:val="0"/>
                <w:sz w:val="28"/>
                <w:szCs w:val="28"/>
                <w:highlight w:val="none"/>
              </w:rPr>
              <w:t>产业，推进美丽休闲乡村、农业主题公园、示范休闲农庄、体验馆等建设，到2025年建设美丽休闲乡村</w:t>
            </w:r>
            <w:r>
              <w:rPr>
                <w:rFonts w:eastAsia="方正楷体_GBK"/>
                <w:kern w:val="0"/>
                <w:sz w:val="28"/>
                <w:szCs w:val="28"/>
                <w:highlight w:val="none"/>
              </w:rPr>
              <w:t>**</w:t>
            </w:r>
            <w:r>
              <w:rPr>
                <w:rFonts w:eastAsia="方正楷体_GBK"/>
                <w:kern w:val="0"/>
                <w:sz w:val="28"/>
                <w:szCs w:val="28"/>
                <w:highlight w:val="none"/>
              </w:rPr>
              <w:t>个、农业主题公园</w:t>
            </w:r>
            <w:r>
              <w:rPr>
                <w:rFonts w:eastAsia="方正楷体_GBK"/>
                <w:kern w:val="0"/>
                <w:sz w:val="28"/>
                <w:szCs w:val="28"/>
                <w:highlight w:val="none"/>
              </w:rPr>
              <w:t>**</w:t>
            </w:r>
            <w:r>
              <w:rPr>
                <w:rFonts w:eastAsia="方正楷体_GBK"/>
                <w:kern w:val="0"/>
                <w:sz w:val="28"/>
                <w:szCs w:val="28"/>
                <w:highlight w:val="none"/>
              </w:rPr>
              <w:t>个，休闲农业和乡村旅游年接待旅游人次</w:t>
            </w:r>
            <w:r>
              <w:rPr>
                <w:rFonts w:eastAsia="方正楷体_GBK"/>
                <w:kern w:val="0"/>
                <w:sz w:val="28"/>
                <w:szCs w:val="28"/>
                <w:highlight w:val="none"/>
              </w:rPr>
              <w:t>**</w:t>
            </w:r>
            <w:r>
              <w:rPr>
                <w:rFonts w:eastAsia="方正楷体_GBK"/>
                <w:kern w:val="0"/>
                <w:sz w:val="28"/>
                <w:szCs w:val="28"/>
                <w:highlight w:val="none"/>
              </w:rPr>
              <w:t>万，年综合经营性收入达到</w:t>
            </w:r>
            <w:r>
              <w:rPr>
                <w:rFonts w:eastAsia="方正楷体_GBK"/>
                <w:kern w:val="0"/>
                <w:sz w:val="28"/>
                <w:szCs w:val="28"/>
                <w:highlight w:val="none"/>
              </w:rPr>
              <w:t>**</w:t>
            </w:r>
            <w:r>
              <w:rPr>
                <w:rFonts w:eastAsia="方正楷体_GBK"/>
                <w:kern w:val="0"/>
                <w:sz w:val="28"/>
                <w:szCs w:val="28"/>
                <w:highlight w:val="none"/>
              </w:rPr>
              <w:t>亿元。</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电商进农村：</w:t>
            </w:r>
            <w:r>
              <w:rPr>
                <w:rFonts w:eastAsia="方正楷体_GBK"/>
                <w:kern w:val="0"/>
                <w:sz w:val="28"/>
                <w:szCs w:val="28"/>
                <w:highlight w:val="none"/>
              </w:rPr>
              <w:t>巩固提升全市5个国家级和3个省级电商进农村县（市、区）项目，夯实电商进农村三级配送体系，打造“达州市电商惠农公共服务平台”。到2025年，建设农业电子商务示范企业</w:t>
            </w:r>
            <w:r>
              <w:rPr>
                <w:rFonts w:eastAsia="方正楷体_GBK"/>
                <w:kern w:val="0"/>
                <w:sz w:val="28"/>
                <w:szCs w:val="28"/>
                <w:highlight w:val="none"/>
              </w:rPr>
              <w:t>**</w:t>
            </w:r>
            <w:r>
              <w:rPr>
                <w:rFonts w:eastAsia="方正楷体_GBK"/>
                <w:kern w:val="0"/>
                <w:sz w:val="28"/>
                <w:szCs w:val="28"/>
                <w:highlight w:val="none"/>
              </w:rPr>
              <w:t>个。</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kern w:val="0"/>
                <w:sz w:val="28"/>
                <w:szCs w:val="28"/>
                <w:highlight w:val="none"/>
              </w:rPr>
              <w:t>◆</w:t>
            </w:r>
            <w:r>
              <w:rPr>
                <w:rFonts w:eastAsia="方正黑体_GBK"/>
                <w:kern w:val="0"/>
                <w:sz w:val="28"/>
                <w:szCs w:val="28"/>
                <w:highlight w:val="none"/>
              </w:rPr>
              <w:t>品牌建设：</w:t>
            </w:r>
            <w:r>
              <w:rPr>
                <w:rFonts w:eastAsia="方正楷体_GBK"/>
                <w:kern w:val="0"/>
                <w:sz w:val="28"/>
                <w:szCs w:val="28"/>
                <w:highlight w:val="none"/>
              </w:rPr>
              <w:t>建好复兴好一新“巴山食荟”展销中心，在国内一二线城市开展“巴山食荟”专题推介会。到2025年，在北京、上海、深圳等大城市开设“巴山食荟”实体店（专柜）</w:t>
            </w:r>
            <w:r>
              <w:rPr>
                <w:rFonts w:eastAsia="方正楷体_GBK"/>
                <w:kern w:val="0"/>
                <w:sz w:val="28"/>
                <w:szCs w:val="28"/>
                <w:highlight w:val="none"/>
              </w:rPr>
              <w:t>**</w:t>
            </w:r>
            <w:r>
              <w:rPr>
                <w:rFonts w:eastAsia="方正楷体_GBK"/>
                <w:kern w:val="0"/>
                <w:sz w:val="28"/>
                <w:szCs w:val="28"/>
                <w:highlight w:val="none"/>
              </w:rPr>
              <w:t>家以上，累计培育绿色、有机、地理标志农产品品牌</w:t>
            </w:r>
            <w:r>
              <w:rPr>
                <w:rFonts w:eastAsia="方正楷体_GBK"/>
                <w:kern w:val="0"/>
                <w:sz w:val="28"/>
                <w:szCs w:val="28"/>
                <w:highlight w:val="none"/>
              </w:rPr>
              <w:t>**</w:t>
            </w:r>
            <w:r>
              <w:rPr>
                <w:rFonts w:eastAsia="方正楷体_GBK"/>
                <w:kern w:val="0"/>
                <w:sz w:val="28"/>
                <w:szCs w:val="28"/>
                <w:highlight w:val="none"/>
              </w:rPr>
              <w:t>个。</w:t>
            </w:r>
          </w:p>
        </w:tc>
      </w:tr>
    </w:tbl>
    <w:p>
      <w:pPr>
        <w:pStyle w:val="5"/>
        <w:rPr>
          <w:rFonts w:ascii="Times New Roman"/>
          <w:highlight w:val="none"/>
        </w:rPr>
      </w:pPr>
      <w:bookmarkStart w:id="88" w:name="_Toc72746639"/>
      <w:bookmarkStart w:id="89" w:name="_Toc73979853"/>
      <w:r>
        <w:rPr>
          <w:rFonts w:ascii="Times New Roman"/>
          <w:highlight w:val="none"/>
        </w:rPr>
        <w:t>第四节  强化创新链，提升农业科技支撑能力</w:t>
      </w:r>
      <w:bookmarkEnd w:id="88"/>
      <w:bookmarkEnd w:id="89"/>
    </w:p>
    <w:p>
      <w:pPr>
        <w:ind w:firstLine="640"/>
        <w:rPr>
          <w:b/>
          <w:szCs w:val="32"/>
          <w:highlight w:val="none"/>
        </w:rPr>
      </w:pPr>
      <w:r>
        <w:rPr>
          <w:rFonts w:eastAsia="方正楷体_GBK"/>
          <w:bCs/>
          <w:szCs w:val="32"/>
          <w:highlight w:val="none"/>
        </w:rPr>
        <w:t>强化农业科技创新平台建设。</w:t>
      </w:r>
      <w:r>
        <w:rPr>
          <w:szCs w:val="32"/>
          <w:highlight w:val="none"/>
        </w:rPr>
        <w:t>加强农业科技创新联盟、现代农业产业科技创新中心、专家服务基地、专家大院、农作物改良中心、农业科技成果孵化平台等农业科技创新平台建设，全力争创国家级、省级农业科技示范园区。持续完善农业科研创新体系，实施一批重大农业科技专项，促进龙头企业、产业园区、高校科研院所深度合作，组建农业科技创新项目技术攻关专家团队，集中解决一批关键技术问题，逐步实现技术成果产业化，为农业发展提供技术支撑。</w:t>
      </w:r>
    </w:p>
    <w:p>
      <w:pPr>
        <w:ind w:firstLine="640"/>
        <w:rPr>
          <w:szCs w:val="32"/>
          <w:highlight w:val="none"/>
        </w:rPr>
      </w:pPr>
      <w:r>
        <w:rPr>
          <w:rFonts w:eastAsia="方正楷体_GBK"/>
          <w:bCs/>
          <w:szCs w:val="32"/>
          <w:highlight w:val="none"/>
        </w:rPr>
        <w:t>进一步完善农业科技推广体系。</w:t>
      </w:r>
      <w:r>
        <w:rPr>
          <w:szCs w:val="32"/>
          <w:highlight w:val="none"/>
        </w:rPr>
        <w:t>加强现代农业产业技术创新推广团队建设，进一步完善新型基层农技推广体系机制。充分发挥省市县三级农业科技推广体系的主渠道作用，构建新型、高效的农业科技推广体系。依托现代农业园区，开展农技推广服务驿站建设，推进各级科技人员下沉生产一线，更好地发挥专长，提升农技推广服务水平。推进农技推广体系改革创新，完善公益性和经营性农技推广融合发展机制。</w:t>
      </w:r>
    </w:p>
    <w:p>
      <w:pPr>
        <w:ind w:firstLine="640"/>
        <w:rPr>
          <w:szCs w:val="32"/>
          <w:highlight w:val="none"/>
        </w:rPr>
      </w:pPr>
      <w:r>
        <w:rPr>
          <w:rFonts w:eastAsia="方正楷体_GBK"/>
          <w:bCs/>
          <w:szCs w:val="32"/>
          <w:highlight w:val="none"/>
        </w:rPr>
        <w:t>加快农业农村科技人才培养。</w:t>
      </w:r>
      <w:r>
        <w:rPr>
          <w:szCs w:val="32"/>
          <w:highlight w:val="none"/>
        </w:rPr>
        <w:t>推进农业农村科研杰出人才培养，鼓励各地实施农业农村领域“引才计划”，加快培育一批高科技领军人才和团队。健全农业农村科研立项、成果评价、成果转化机制，完善科技人员兼职兼薪、分享股权期权、领办创办企业、成果权益分配等激励办法。深化农技人员职称制度改革，突出业绩水平和实际贡献，向服务基层一线人才倾斜。引导科研院所、高等院校开展专家服务基层活动，采用“科技小院”等模式培养更多实用技术人才。</w:t>
      </w:r>
    </w:p>
    <w:p>
      <w:pPr>
        <w:ind w:firstLine="0" w:firstLineChars="0"/>
        <w:jc w:val="center"/>
        <w:rPr>
          <w:rFonts w:eastAsia="方正黑体_GBK"/>
          <w:bCs/>
          <w:szCs w:val="32"/>
          <w:highlight w:val="none"/>
        </w:rPr>
      </w:pPr>
      <w:r>
        <w:rPr>
          <w:rFonts w:eastAsia="方正黑体_GBK"/>
          <w:bCs/>
          <w:szCs w:val="32"/>
          <w:highlight w:val="none"/>
        </w:rPr>
        <w:t>专栏17  农业科技创新重点项目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640"/>
              <w:jc w:val="left"/>
              <w:rPr>
                <w:rFonts w:eastAsia="方正楷体_GBK"/>
                <w:sz w:val="28"/>
                <w:szCs w:val="28"/>
                <w:highlight w:val="none"/>
              </w:rPr>
            </w:pPr>
            <w:r>
              <w:rPr>
                <w:rFonts w:hint="eastAsia" w:ascii="宋体" w:hAnsi="宋体" w:eastAsia="宋体" w:cs="宋体"/>
                <w:highlight w:val="none"/>
              </w:rPr>
              <w:t>◆</w:t>
            </w:r>
            <w:r>
              <w:rPr>
                <w:rFonts w:eastAsia="方正黑体_GBK"/>
                <w:kern w:val="0"/>
                <w:sz w:val="28"/>
                <w:szCs w:val="28"/>
                <w:highlight w:val="none"/>
              </w:rPr>
              <w:t>科技创新发展：</w:t>
            </w:r>
            <w:r>
              <w:rPr>
                <w:rFonts w:eastAsia="方正楷体_GBK"/>
                <w:sz w:val="28"/>
                <w:szCs w:val="28"/>
                <w:highlight w:val="none"/>
              </w:rPr>
              <w:t>到2025年，建设1个以上农业科技创新平台，开展科技下乡万里行活动，力争成功开发</w:t>
            </w:r>
            <w:r>
              <w:rPr>
                <w:rFonts w:eastAsia="方正楷体_GBK"/>
                <w:kern w:val="0"/>
                <w:sz w:val="28"/>
                <w:szCs w:val="28"/>
                <w:highlight w:val="none"/>
              </w:rPr>
              <w:t>**</w:t>
            </w:r>
            <w:r>
              <w:rPr>
                <w:rFonts w:eastAsia="方正楷体_GBK"/>
                <w:sz w:val="28"/>
                <w:szCs w:val="28"/>
                <w:highlight w:val="none"/>
              </w:rPr>
              <w:t>个先导性产业（产品）。</w:t>
            </w:r>
          </w:p>
        </w:tc>
      </w:tr>
    </w:tbl>
    <w:p>
      <w:pPr>
        <w:pStyle w:val="5"/>
        <w:rPr>
          <w:rFonts w:ascii="Times New Roman"/>
          <w:highlight w:val="none"/>
        </w:rPr>
      </w:pPr>
      <w:bookmarkStart w:id="90" w:name="_Toc73979854"/>
      <w:bookmarkStart w:id="91" w:name="_Toc72746640"/>
      <w:r>
        <w:rPr>
          <w:rFonts w:ascii="Times New Roman"/>
          <w:highlight w:val="none"/>
        </w:rPr>
        <w:t>第五节  搭建安全链，提高农产品供给质量</w:t>
      </w:r>
      <w:bookmarkEnd w:id="90"/>
      <w:bookmarkEnd w:id="91"/>
    </w:p>
    <w:p>
      <w:pPr>
        <w:ind w:firstLine="640"/>
        <w:rPr>
          <w:szCs w:val="32"/>
          <w:highlight w:val="none"/>
        </w:rPr>
      </w:pPr>
      <w:r>
        <w:rPr>
          <w:rFonts w:eastAsia="方正楷体_GBK"/>
          <w:bCs/>
          <w:szCs w:val="32"/>
          <w:highlight w:val="none"/>
        </w:rPr>
        <w:t>推进农业生产标准化。</w:t>
      </w:r>
      <w:r>
        <w:rPr>
          <w:szCs w:val="32"/>
          <w:highlight w:val="none"/>
        </w:rPr>
        <w:t>围绕特色优势产业和特色农产品，以全程质量控制为核心，制定和完善与国家标准、行业标准相配套的地方主要农产品生产操作规程、标准体系及标准综合体，确保主要农产品产前、产中、产后全程有标准可依。建设一批标准化原料和生产基地，推动新型农业经营主体按标生产，开展标准化茶园、标准化规模养殖场创建示范，优化农业综合标准化示范布局，推进主要农产品生产、供给全过程标准化进程。</w:t>
      </w:r>
    </w:p>
    <w:p>
      <w:pPr>
        <w:ind w:firstLine="640"/>
        <w:rPr>
          <w:szCs w:val="32"/>
          <w:highlight w:val="none"/>
        </w:rPr>
      </w:pPr>
      <w:bookmarkStart w:id="92" w:name="_Hlk73709585"/>
      <w:r>
        <w:rPr>
          <w:rFonts w:eastAsia="方正楷体_GBK"/>
          <w:bCs/>
          <w:szCs w:val="32"/>
          <w:highlight w:val="none"/>
        </w:rPr>
        <w:t>保障农产品质量安全。</w:t>
      </w:r>
      <w:r>
        <w:rPr>
          <w:szCs w:val="32"/>
          <w:highlight w:val="none"/>
        </w:rPr>
        <w:t>深化国家和省级农产品质量安全监管示范县建设。加强市、县、乡三级农产品质量安全检验检测能力建设，建设完善病死畜禽无害化处理收集点和处理场所。严格落实农产品质量生产经营主体责任制，加快农产品质量安全追溯平台应用，全面实施食用农产品电子合格证制度。建立健全农产品质量安全风险评估、监测预警和应急处置机制，扎实开展农产品质量安全专项整治，做好农业行业安全生产宣传教育。</w:t>
      </w:r>
    </w:p>
    <w:p>
      <w:pPr>
        <w:ind w:firstLine="640"/>
        <w:rPr>
          <w:szCs w:val="32"/>
          <w:highlight w:val="none"/>
        </w:rPr>
      </w:pPr>
      <w:r>
        <w:rPr>
          <w:rFonts w:eastAsia="方正楷体_GBK"/>
          <w:bCs/>
          <w:szCs w:val="32"/>
          <w:highlight w:val="none"/>
        </w:rPr>
        <w:t>提高农业抗风险能力。</w:t>
      </w:r>
      <w:r>
        <w:rPr>
          <w:highlight w:val="none"/>
        </w:rPr>
        <w:t>加快农业防灾减灾基础设施建设，强化水资源配置和高效利用，提高农业机械化抢种抢收抢烘服务能力。加强农业防灾减灾能力建设，完善农业气象综合监测网络，打造智慧农业气象服务平台和灾害检测预警服务平台。加快推广先进适用的绿色防控和健康养殖技术，全面加强农作物病虫害防控、畜禽防疫体系和能力建设。逐步扩大政策性农业保险和特色农业保险，持续扩大保险品种覆盖范围，建立健全农业灾害风险分担机制，进一步降低农业生产风险。</w:t>
      </w:r>
    </w:p>
    <w:bookmarkEnd w:id="92"/>
    <w:p>
      <w:pPr>
        <w:ind w:firstLine="0" w:firstLineChars="0"/>
        <w:jc w:val="center"/>
        <w:rPr>
          <w:rFonts w:eastAsia="方正黑体_GBK"/>
          <w:bCs/>
          <w:szCs w:val="32"/>
          <w:highlight w:val="none"/>
        </w:rPr>
      </w:pPr>
      <w:r>
        <w:rPr>
          <w:rFonts w:eastAsia="方正黑体_GBK"/>
          <w:bCs/>
          <w:szCs w:val="32"/>
          <w:highlight w:val="none"/>
        </w:rPr>
        <w:t>专栏18  农产品质量安全重点项目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z w:val="28"/>
                <w:szCs w:val="28"/>
                <w:highlight w:val="none"/>
              </w:rPr>
            </w:pPr>
            <w:r>
              <w:rPr>
                <w:rFonts w:cs="Cambria Math" w:asciiTheme="majorEastAsia" w:hAnsiTheme="majorEastAsia" w:eastAsiaTheme="majorEastAsia"/>
                <w:kern w:val="0"/>
                <w:sz w:val="28"/>
                <w:szCs w:val="28"/>
                <w:highlight w:val="none"/>
              </w:rPr>
              <w:t>◆</w:t>
            </w:r>
            <w:r>
              <w:rPr>
                <w:rFonts w:eastAsia="方正黑体_GBK"/>
                <w:kern w:val="0"/>
                <w:sz w:val="28"/>
                <w:szCs w:val="28"/>
                <w:highlight w:val="none"/>
              </w:rPr>
              <w:t>标准示范项目：</w:t>
            </w:r>
            <w:r>
              <w:rPr>
                <w:rFonts w:eastAsia="方正楷体_GBK"/>
                <w:sz w:val="28"/>
                <w:szCs w:val="28"/>
                <w:highlight w:val="none"/>
              </w:rPr>
              <w:t>积极推进“全程控”标准化示范基地和国家地理标志农产品保护工程建设。</w:t>
            </w:r>
          </w:p>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保障农产品质量安全</w:t>
            </w:r>
            <w:r>
              <w:rPr>
                <w:rFonts w:eastAsia="宋体"/>
                <w:bCs/>
                <w:snapToGrid w:val="0"/>
                <w:color w:val="000000"/>
                <w:kern w:val="0"/>
                <w:sz w:val="28"/>
                <w:szCs w:val="28"/>
                <w:highlight w:val="none"/>
              </w:rPr>
              <w:t>：</w:t>
            </w:r>
            <w:r>
              <w:rPr>
                <w:rFonts w:eastAsia="方正楷体_GBK"/>
                <w:sz w:val="28"/>
                <w:szCs w:val="28"/>
                <w:highlight w:val="none"/>
              </w:rPr>
              <w:t>健全县级水产品质量安全保障基地建设，完善农产品质量安全检验检测体系、质量安全监督体系、动物防疫体系、动物卫生监督体系、农产品质量安全追溯体系建设，加快推进县级洗消中心建设。争创国家农产品质量安全县，推进智能管控示范县和示范点、专业化农产品质检中心、区域性农产品质检中心、农产品质量安全检测技术实训基地建设。</w:t>
            </w:r>
          </w:p>
        </w:tc>
      </w:tr>
    </w:tbl>
    <w:p>
      <w:pPr>
        <w:ind w:firstLine="0" w:firstLineChars="0"/>
        <w:jc w:val="center"/>
        <w:outlineLvl w:val="1"/>
        <w:rPr>
          <w:rFonts w:eastAsia="方正黑体_GBK"/>
          <w:bCs/>
          <w:szCs w:val="32"/>
          <w:highlight w:val="none"/>
        </w:rPr>
      </w:pPr>
      <w:bookmarkStart w:id="93" w:name="_Toc72746641"/>
      <w:bookmarkStart w:id="94" w:name="_Toc73979855"/>
      <w:r>
        <w:rPr>
          <w:rFonts w:eastAsia="方正黑体_GBK"/>
          <w:bCs/>
          <w:szCs w:val="32"/>
          <w:highlight w:val="none"/>
        </w:rPr>
        <w:t>第四章  加强农业物质技术装备建设，加快生产体系现代化</w:t>
      </w:r>
      <w:bookmarkEnd w:id="93"/>
      <w:bookmarkEnd w:id="94"/>
    </w:p>
    <w:p>
      <w:pPr>
        <w:pStyle w:val="5"/>
        <w:rPr>
          <w:rFonts w:ascii="Times New Roman"/>
          <w:highlight w:val="none"/>
        </w:rPr>
      </w:pPr>
      <w:bookmarkStart w:id="95" w:name="_Toc73979856"/>
      <w:bookmarkStart w:id="96" w:name="_Toc72746642"/>
      <w:r>
        <w:rPr>
          <w:rFonts w:ascii="Times New Roman"/>
          <w:highlight w:val="none"/>
        </w:rPr>
        <w:t>第一节  推进设施化，切实改善田间生产条件</w:t>
      </w:r>
      <w:bookmarkEnd w:id="95"/>
      <w:bookmarkEnd w:id="96"/>
    </w:p>
    <w:p>
      <w:pPr>
        <w:ind w:firstLine="640"/>
        <w:rPr>
          <w:szCs w:val="32"/>
          <w:highlight w:val="none"/>
        </w:rPr>
      </w:pPr>
      <w:r>
        <w:rPr>
          <w:rFonts w:eastAsia="方正楷体_GBK"/>
          <w:bCs/>
          <w:szCs w:val="32"/>
          <w:highlight w:val="none"/>
        </w:rPr>
        <w:t>加快建设高标准农田。</w:t>
      </w:r>
      <w:r>
        <w:rPr>
          <w:szCs w:val="32"/>
          <w:highlight w:val="none"/>
        </w:rPr>
        <w:t>统筹整合资金，加大投入力度，在永久基本农田保护区、粮食生产功能区和重要农产品生产保护区，新建一批“集中连片、旱涝保收、宜机作业、节水高效、稳产高产、生态友好”的高标准农田，加快补齐农业基础设施短板，稳步提升粮食生产能力。坚持新增建设和改造提升并重、工程建设和建后管护并举、产能提升和绿色发展协调，实行田、土、水、路、林、电、技、管、制综合配套，集中连片打造。对建成的高标准农田要划入永久基本农田，实行特殊保护，任何单位和个人不得损毁、擅自占用或改变用途。</w:t>
      </w:r>
    </w:p>
    <w:p>
      <w:pPr>
        <w:ind w:firstLine="640"/>
        <w:rPr>
          <w:szCs w:val="32"/>
          <w:highlight w:val="none"/>
        </w:rPr>
      </w:pPr>
      <w:r>
        <w:rPr>
          <w:rFonts w:eastAsia="方正楷体_GBK"/>
          <w:bCs/>
          <w:szCs w:val="32"/>
          <w:highlight w:val="none"/>
        </w:rPr>
        <w:t>推进农田水利建设。</w:t>
      </w:r>
      <w:r>
        <w:rPr>
          <w:szCs w:val="32"/>
          <w:highlight w:val="none"/>
        </w:rPr>
        <w:t>建立健全水利建设投入机制，加快推进固军水库、土溪口水库等大中型水利工程建设，尽快开工建设李家梁、斑竹沟水库。推进小型农田水利设施达标提质，大力实施“治水兴村”战略，精准实施农村“五小水利”工程，明晰工程产权，落实工程管护主体和责任。加强基层水利服务体系建设，探索创新多种管理模式，构建形成农田水利设施建、管、养、用一体化新体系，着力解决农业灌溉“最后一公里”问题，提高农业用水保障水平。实施高效节水灌溉提升工程，大力发展高效节水灌溉，普及喷灌、滴灌、水肥一体化等节水灌溉技术和农艺。</w:t>
      </w:r>
    </w:p>
    <w:p>
      <w:pPr>
        <w:ind w:firstLine="0" w:firstLineChars="0"/>
        <w:jc w:val="center"/>
        <w:rPr>
          <w:rFonts w:eastAsia="方正黑体_GBK"/>
          <w:bCs/>
          <w:szCs w:val="32"/>
          <w:highlight w:val="none"/>
        </w:rPr>
      </w:pPr>
      <w:r>
        <w:rPr>
          <w:rFonts w:eastAsia="方正黑体_GBK"/>
          <w:bCs/>
          <w:szCs w:val="32"/>
          <w:highlight w:val="none"/>
        </w:rPr>
        <w:t>专栏19  农田基础设施建设重点项目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jc w:val="left"/>
              <w:rPr>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高标准农田建设：</w:t>
            </w:r>
            <w:r>
              <w:rPr>
                <w:rFonts w:eastAsia="方正楷体_GBK"/>
                <w:kern w:val="0"/>
                <w:sz w:val="28"/>
                <w:szCs w:val="28"/>
                <w:highlight w:val="none"/>
              </w:rPr>
              <w:t>在土地平整、土壤改良、灌溉排水、田间道路、农田防护与生态环境保持、农田输配电、科技服务和建后管护等方面加大建设力度。加快编制新一轮市、县级高标准农田建设规划，</w:t>
            </w:r>
            <w:r>
              <w:rPr>
                <w:rFonts w:hint="eastAsia" w:eastAsia="方正楷体_GBK"/>
                <w:kern w:val="0"/>
                <w:sz w:val="28"/>
                <w:szCs w:val="28"/>
                <w:highlight w:val="none"/>
              </w:rPr>
              <w:t>“十四五”时期，</w:t>
            </w:r>
            <w:r>
              <w:rPr>
                <w:rFonts w:eastAsia="方正楷体_GBK"/>
                <w:kern w:val="0"/>
                <w:sz w:val="28"/>
                <w:szCs w:val="28"/>
                <w:highlight w:val="none"/>
              </w:rPr>
              <w:t>新建</w:t>
            </w:r>
            <w:r>
              <w:rPr>
                <w:rFonts w:eastAsia="方正楷体_GBK"/>
                <w:kern w:val="0"/>
                <w:sz w:val="28"/>
                <w:szCs w:val="28"/>
                <w:highlight w:val="none"/>
              </w:rPr>
              <w:t>**</w:t>
            </w:r>
            <w:r>
              <w:rPr>
                <w:rFonts w:eastAsia="方正楷体_GBK"/>
                <w:kern w:val="0"/>
                <w:sz w:val="28"/>
                <w:szCs w:val="28"/>
                <w:highlight w:val="none"/>
              </w:rPr>
              <w:t>万亩高标准农田，加快建立高标准农田管理大数据平台。</w:t>
            </w:r>
          </w:p>
          <w:p>
            <w:pPr>
              <w:spacing w:line="500" w:lineRule="exact"/>
              <w:ind w:firstLine="560"/>
              <w:jc w:val="left"/>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农田水利建设：</w:t>
            </w:r>
            <w:r>
              <w:rPr>
                <w:rFonts w:eastAsia="方正楷体_GBK"/>
                <w:kern w:val="0"/>
                <w:sz w:val="28"/>
                <w:szCs w:val="28"/>
                <w:highlight w:val="none"/>
              </w:rPr>
              <w:t>推进亭子口、罐子坝、白岩滩、刘家拱桥、石峡子、土地滩等灌区建设；实施大竹县同心桥、乌木滩、宣汉县胡家沟等灌区改造；建设小型水源工程。开展机电提灌站建设，推广太阳能光伏提灌站，到2025年，全市完成</w:t>
            </w:r>
            <w:r>
              <w:rPr>
                <w:rFonts w:eastAsia="方正楷体_GBK"/>
                <w:kern w:val="0"/>
                <w:sz w:val="28"/>
                <w:szCs w:val="28"/>
                <w:highlight w:val="none"/>
              </w:rPr>
              <w:t>**</w:t>
            </w:r>
            <w:r>
              <w:rPr>
                <w:rFonts w:eastAsia="方正楷体_GBK"/>
                <w:kern w:val="0"/>
                <w:sz w:val="28"/>
                <w:szCs w:val="28"/>
                <w:highlight w:val="none"/>
              </w:rPr>
              <w:t>座中型水库建设，</w:t>
            </w:r>
            <w:r>
              <w:rPr>
                <w:rFonts w:eastAsia="方正楷体_GBK"/>
                <w:kern w:val="0"/>
                <w:sz w:val="28"/>
                <w:szCs w:val="28"/>
                <w:highlight w:val="none"/>
              </w:rPr>
              <w:t>新建改造提灌站**座，保障常年机电灌溉能力**万亩。</w:t>
            </w:r>
          </w:p>
        </w:tc>
      </w:tr>
    </w:tbl>
    <w:p>
      <w:pPr>
        <w:pStyle w:val="5"/>
        <w:rPr>
          <w:rFonts w:ascii="Times New Roman"/>
          <w:highlight w:val="none"/>
        </w:rPr>
      </w:pPr>
      <w:bookmarkStart w:id="97" w:name="_Toc73979857"/>
      <w:bookmarkStart w:id="98" w:name="_Toc72746643"/>
      <w:r>
        <w:rPr>
          <w:rFonts w:ascii="Times New Roman"/>
          <w:highlight w:val="none"/>
        </w:rPr>
        <w:t>第二节  推进机械化，积极推广实用高效农机</w:t>
      </w:r>
      <w:bookmarkEnd w:id="97"/>
      <w:bookmarkEnd w:id="98"/>
    </w:p>
    <w:p>
      <w:pPr>
        <w:ind w:firstLine="640"/>
        <w:rPr>
          <w:highlight w:val="none"/>
        </w:rPr>
      </w:pPr>
      <w:r>
        <w:rPr>
          <w:rFonts w:eastAsia="方正楷体_GBK"/>
          <w:bCs/>
          <w:szCs w:val="32"/>
          <w:highlight w:val="none"/>
        </w:rPr>
        <w:t>推进农业生产全程全面机械化。</w:t>
      </w:r>
      <w:r>
        <w:rPr>
          <w:szCs w:val="32"/>
          <w:highlight w:val="none"/>
        </w:rPr>
        <w:t>加快推广适用于机械化作业、轻简化栽培的品种，</w:t>
      </w:r>
      <w:r>
        <w:rPr>
          <w:highlight w:val="none"/>
        </w:rPr>
        <w:t>重点加快适应丘陵山区作业的大型机具推广应用。</w:t>
      </w:r>
      <w:r>
        <w:rPr>
          <w:szCs w:val="32"/>
          <w:highlight w:val="none"/>
        </w:rPr>
        <w:t>加快推进农业机械化由粮油作物向经济作物扩展，由种植业向林业、牧业、渔业等领域拓展。在粮食生产功能区、特色农产品优势区开展主要农作物全程机械化示范县（市、区）创建行动。在现代农业园区和农业科技园区率先实施以“良机”为牵引的“五良”融合全程机械化示范区建设行动，将先进适用农机装备列入省、市级现代农业园区培育、奖励资金使用范围，着力整村整乡整县推进。</w:t>
      </w:r>
    </w:p>
    <w:p>
      <w:pPr>
        <w:ind w:firstLine="640"/>
        <w:rPr>
          <w:highlight w:val="none"/>
        </w:rPr>
      </w:pPr>
      <w:r>
        <w:rPr>
          <w:rFonts w:eastAsia="方正楷体_GBK"/>
          <w:bCs/>
          <w:szCs w:val="32"/>
          <w:highlight w:val="none"/>
        </w:rPr>
        <w:t>实施农机服务能力提升工程。</w:t>
      </w:r>
      <w:r>
        <w:rPr>
          <w:highlight w:val="none"/>
        </w:rPr>
        <w:t>大力培育新型农机服务组织，鼓励农机服务主体通过跨区作业、订单作业、农业生产代管和托管等多种形式，开展高效便捷的农机作业服务。建设一批“全程机械化+综合农事”服务中心，推广应用农机应用程序（APP）、农机跨区作业平台，推广应用网络订单作业服务和新技术新装备。</w:t>
      </w:r>
      <w:r>
        <w:rPr>
          <w:szCs w:val="32"/>
          <w:highlight w:val="none"/>
        </w:rPr>
        <w:t>鼓励构建农机服务联合体，促进机具共享。加快农机维修网点建设，鼓励有条件地区将农机维修纳入政府购买服务内容。明确县乡农机推广职责，提升农机公共服务能力。</w:t>
      </w:r>
      <w:r>
        <w:rPr>
          <w:highlight w:val="none"/>
        </w:rPr>
        <w:t>推进农机安全监管“放管服”改革，按规定开展“平安农机”创建活动。</w:t>
      </w:r>
    </w:p>
    <w:p>
      <w:pPr>
        <w:ind w:firstLine="640"/>
        <w:rPr>
          <w:szCs w:val="32"/>
          <w:highlight w:val="none"/>
        </w:rPr>
      </w:pPr>
      <w:r>
        <w:rPr>
          <w:rFonts w:eastAsia="方正楷体_GBK"/>
          <w:bCs/>
          <w:szCs w:val="32"/>
          <w:highlight w:val="none"/>
        </w:rPr>
        <w:t>提高农田“宜机化”水平。</w:t>
      </w:r>
      <w:r>
        <w:rPr>
          <w:highlight w:val="none"/>
        </w:rPr>
        <w:t>加快补齐农业机械化基础条件薄弱短板，持续改善农机作业基础条件，将“宜机化”纳入高标准农田建设、农村土地整治重要内容，加快农田宜机化改造步伐。在现代农业园区建设、粮油绿色高质高效示范县创建、产业提质增效绿色发展等项目中，安排一定比例资金支持开展宜机化改造、购置农业装备、建设标准化提灌站等，着力解决田块细碎分散、机耕道路缺乏，农机“下田难”“作业难”等问题。</w:t>
      </w:r>
    </w:p>
    <w:p>
      <w:pPr>
        <w:ind w:firstLine="0" w:firstLineChars="0"/>
        <w:jc w:val="center"/>
        <w:rPr>
          <w:rFonts w:eastAsia="方正黑体_GBK"/>
          <w:bCs/>
          <w:szCs w:val="32"/>
          <w:highlight w:val="none"/>
        </w:rPr>
      </w:pPr>
    </w:p>
    <w:p>
      <w:pPr>
        <w:ind w:firstLine="0" w:firstLineChars="0"/>
        <w:jc w:val="center"/>
        <w:rPr>
          <w:rFonts w:eastAsia="方正黑体_GBK"/>
          <w:bCs/>
          <w:szCs w:val="32"/>
          <w:highlight w:val="none"/>
        </w:rPr>
      </w:pPr>
      <w:r>
        <w:rPr>
          <w:rFonts w:eastAsia="方正黑体_GBK"/>
          <w:bCs/>
          <w:szCs w:val="32"/>
          <w:highlight w:val="none"/>
        </w:rPr>
        <w:t>专栏20  农业机械化发展重点项目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全程全面机械化：</w:t>
            </w:r>
            <w:r>
              <w:rPr>
                <w:rFonts w:eastAsia="方正楷体_GBK"/>
                <w:sz w:val="28"/>
                <w:szCs w:val="28"/>
                <w:highlight w:val="none"/>
              </w:rPr>
              <w:t>支持在现代农业园区全面推进“五良融合”，积极创建“五良”融合全程机械化示范区和主要农作物全程机械化示范区，由点及面，梯度推进全程机械化示范县创建。到2025年，全市农机总动力达到</w:t>
            </w:r>
            <w:r>
              <w:rPr>
                <w:rFonts w:eastAsia="方正楷体_GBK"/>
                <w:kern w:val="0"/>
                <w:sz w:val="28"/>
                <w:szCs w:val="28"/>
                <w:highlight w:val="none"/>
              </w:rPr>
              <w:t>**</w:t>
            </w:r>
            <w:r>
              <w:rPr>
                <w:rFonts w:eastAsia="方正楷体_GBK"/>
                <w:sz w:val="28"/>
                <w:szCs w:val="28"/>
                <w:highlight w:val="none"/>
              </w:rPr>
              <w:t>万千瓦，主要农作物耕种收综合机械化率达到</w:t>
            </w:r>
            <w:r>
              <w:rPr>
                <w:rFonts w:eastAsia="方正楷体_GBK"/>
                <w:kern w:val="0"/>
                <w:sz w:val="28"/>
                <w:szCs w:val="28"/>
                <w:highlight w:val="none"/>
              </w:rPr>
              <w:t>**</w:t>
            </w:r>
            <w:r>
              <w:rPr>
                <w:rFonts w:eastAsia="方正楷体_GBK"/>
                <w:sz w:val="28"/>
                <w:szCs w:val="28"/>
                <w:highlight w:val="none"/>
              </w:rPr>
              <w:t>%，创建1000亩以上全程全面机械化示范区（基地）</w:t>
            </w:r>
            <w:r>
              <w:rPr>
                <w:rFonts w:eastAsia="方正楷体_GBK"/>
                <w:kern w:val="0"/>
                <w:sz w:val="28"/>
                <w:szCs w:val="28"/>
                <w:highlight w:val="none"/>
              </w:rPr>
              <w:t>**</w:t>
            </w:r>
            <w:r>
              <w:rPr>
                <w:rFonts w:eastAsia="方正楷体_GBK"/>
                <w:sz w:val="28"/>
                <w:szCs w:val="28"/>
                <w:highlight w:val="none"/>
              </w:rPr>
              <w:t>个、示范县（市、区）</w:t>
            </w:r>
            <w:r>
              <w:rPr>
                <w:rFonts w:eastAsia="方正楷体_GBK"/>
                <w:kern w:val="0"/>
                <w:sz w:val="28"/>
                <w:szCs w:val="28"/>
                <w:highlight w:val="none"/>
              </w:rPr>
              <w:t>**</w:t>
            </w:r>
            <w:r>
              <w:rPr>
                <w:rFonts w:eastAsia="方正楷体_GBK"/>
                <w:sz w:val="28"/>
                <w:szCs w:val="28"/>
                <w:highlight w:val="none"/>
              </w:rPr>
              <w:t>个、省级“五良”融合全程机械化示范区</w:t>
            </w:r>
            <w:r>
              <w:rPr>
                <w:rFonts w:eastAsia="方正楷体_GBK"/>
                <w:kern w:val="0"/>
                <w:sz w:val="28"/>
                <w:szCs w:val="28"/>
                <w:highlight w:val="none"/>
              </w:rPr>
              <w:t>**</w:t>
            </w:r>
            <w:r>
              <w:rPr>
                <w:rFonts w:eastAsia="方正楷体_GBK"/>
                <w:sz w:val="28"/>
                <w:szCs w:val="28"/>
                <w:highlight w:val="none"/>
              </w:rPr>
              <w:t>个。</w:t>
            </w:r>
          </w:p>
          <w:p>
            <w:pPr>
              <w:spacing w:line="500" w:lineRule="exact"/>
              <w:ind w:firstLine="560"/>
              <w:jc w:val="left"/>
              <w:rPr>
                <w:rFonts w:eastAsia="方正黑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农机服务能力提升</w:t>
            </w:r>
            <w:r>
              <w:rPr>
                <w:rFonts w:eastAsia="宋体"/>
                <w:bCs/>
                <w:snapToGrid w:val="0"/>
                <w:color w:val="000000"/>
                <w:kern w:val="0"/>
                <w:sz w:val="28"/>
                <w:szCs w:val="28"/>
                <w:highlight w:val="none"/>
              </w:rPr>
              <w:t>：</w:t>
            </w:r>
            <w:r>
              <w:rPr>
                <w:rFonts w:eastAsia="方正楷体_GBK"/>
                <w:sz w:val="28"/>
                <w:szCs w:val="28"/>
                <w:highlight w:val="none"/>
              </w:rPr>
              <w:t>到2025年，创建“全程机械化+综合农事”服务中心</w:t>
            </w:r>
            <w:r>
              <w:rPr>
                <w:rFonts w:eastAsia="方正楷体_GBK"/>
                <w:kern w:val="0"/>
                <w:sz w:val="28"/>
                <w:szCs w:val="28"/>
                <w:highlight w:val="none"/>
              </w:rPr>
              <w:t>**</w:t>
            </w:r>
            <w:r>
              <w:rPr>
                <w:rFonts w:eastAsia="方正楷体_GBK"/>
                <w:sz w:val="28"/>
                <w:szCs w:val="28"/>
                <w:highlight w:val="none"/>
              </w:rPr>
              <w:t>个。</w:t>
            </w:r>
          </w:p>
          <w:p>
            <w:pPr>
              <w:tabs>
                <w:tab w:val="left" w:pos="2128"/>
              </w:tabs>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“宜机化”改造：</w:t>
            </w:r>
            <w:r>
              <w:rPr>
                <w:rFonts w:eastAsia="方正楷体_GBK"/>
                <w:sz w:val="28"/>
                <w:szCs w:val="28"/>
                <w:highlight w:val="none"/>
              </w:rPr>
              <w:t>重点在高标准农田、现代农业园区开展“宜机化”建设，持续提高农机通达率；新建改造一批提灌站，着力解决主导产业聚集区域旱涝保收问题。</w:t>
            </w:r>
          </w:p>
        </w:tc>
      </w:tr>
    </w:tbl>
    <w:p>
      <w:pPr>
        <w:pStyle w:val="5"/>
        <w:rPr>
          <w:rFonts w:ascii="Times New Roman"/>
          <w:highlight w:val="none"/>
        </w:rPr>
      </w:pPr>
      <w:bookmarkStart w:id="99" w:name="_Toc73979858"/>
      <w:bookmarkStart w:id="100" w:name="_Toc72746644"/>
      <w:r>
        <w:rPr>
          <w:rFonts w:ascii="Times New Roman"/>
          <w:highlight w:val="none"/>
        </w:rPr>
        <w:t>第三节  推进绿色化，大力发展生态循环农业</w:t>
      </w:r>
      <w:bookmarkEnd w:id="99"/>
      <w:bookmarkEnd w:id="100"/>
    </w:p>
    <w:p>
      <w:pPr>
        <w:ind w:firstLine="640"/>
        <w:rPr>
          <w:szCs w:val="32"/>
          <w:highlight w:val="none"/>
        </w:rPr>
      </w:pPr>
      <w:r>
        <w:rPr>
          <w:rFonts w:eastAsia="方正楷体_GBK"/>
          <w:bCs/>
          <w:szCs w:val="32"/>
          <w:highlight w:val="none"/>
        </w:rPr>
        <w:t>加强耕地保护与质量提升。</w:t>
      </w:r>
      <w:r>
        <w:rPr>
          <w:szCs w:val="32"/>
          <w:highlight w:val="none"/>
        </w:rPr>
        <w:t>采取“长牙齿”的硬措施，落实最严格的耕地保护制度，坚决遏制耕地“非农化”、防止“非粮化”。实施耕地质量保护与提升行动，深入推进科学施肥，推广保护性耕作模式。扎实开展耕地质量监测评价工作，拓展监测评价成果应用。开展农村撂荒地专项整治，禁止闲置、荒芜永久基本农田。</w:t>
      </w:r>
    </w:p>
    <w:p>
      <w:pPr>
        <w:ind w:firstLine="640"/>
        <w:rPr>
          <w:szCs w:val="32"/>
          <w:highlight w:val="none"/>
        </w:rPr>
      </w:pPr>
      <w:r>
        <w:rPr>
          <w:rFonts w:eastAsia="方正楷体_GBK"/>
          <w:bCs/>
          <w:szCs w:val="32"/>
          <w:highlight w:val="none"/>
        </w:rPr>
        <w:t>扩大绿色防控覆盖面。</w:t>
      </w:r>
      <w:r>
        <w:rPr>
          <w:szCs w:val="32"/>
          <w:highlight w:val="none"/>
        </w:rPr>
        <w:t>推进国家绿色发展先行区建设，积极打造绿色防控示范基地。推广农作物病虫害绿色防控产品和技术，提升主要农作物病虫害绿色防控技术覆盖率。推广应用新型植保农药器械，提高农药利用率。开展重大病虫害预警与控制、重大农业疫情应急防控和无害化治理，大力开展统防统治。</w:t>
      </w:r>
    </w:p>
    <w:p>
      <w:pPr>
        <w:ind w:firstLine="640"/>
        <w:rPr>
          <w:highlight w:val="none"/>
        </w:rPr>
      </w:pPr>
      <w:r>
        <w:rPr>
          <w:rFonts w:eastAsia="方正楷体_GBK"/>
          <w:bCs/>
          <w:szCs w:val="32"/>
          <w:highlight w:val="none"/>
        </w:rPr>
        <w:t>推进农业产地环境治理</w:t>
      </w:r>
      <w:r>
        <w:rPr>
          <w:highlight w:val="none"/>
        </w:rPr>
        <w:t>。健全完善回收处置模式和政策监管体系，加强废弃农膜回收利用，加快推广可降解农膜，逐步建立农药肥料包装废弃物回收处置机制。加快农作物秸秆肥料化、饲料化、基料化、燃料化、原料化“五化”综合利用。强化畜禽养殖污染源头防控，推广清洁生产技术，推进畜禽粪污资源化利用。</w:t>
      </w:r>
    </w:p>
    <w:p>
      <w:pPr>
        <w:ind w:firstLine="640"/>
        <w:rPr>
          <w:rFonts w:eastAsia="方正楷体_GBK"/>
          <w:highlight w:val="none"/>
        </w:rPr>
      </w:pPr>
      <w:r>
        <w:rPr>
          <w:rFonts w:eastAsia="方正楷体_GBK"/>
          <w:bCs/>
          <w:szCs w:val="32"/>
          <w:highlight w:val="none"/>
        </w:rPr>
        <w:t>推行生态循环农业发展</w:t>
      </w:r>
      <w:r>
        <w:rPr>
          <w:highlight w:val="none"/>
        </w:rPr>
        <w:t>。深化贯彻落实国家关于做好碳达峰碳中和工作的指导意见，发展绿色低碳循环农业。</w:t>
      </w:r>
      <w:r>
        <w:rPr>
          <w:szCs w:val="32"/>
          <w:highlight w:val="none"/>
        </w:rPr>
        <w:t>以秸秆饲料化利用、畜禽养殖粪污资源化循环利用等为重点，</w:t>
      </w:r>
      <w:r>
        <w:rPr>
          <w:highlight w:val="none"/>
        </w:rPr>
        <w:t>集成推广多元化的成熟适用技术，发展环境友好型种植业和生态健康养殖业。</w:t>
      </w:r>
      <w:r>
        <w:rPr>
          <w:szCs w:val="32"/>
          <w:highlight w:val="none"/>
        </w:rPr>
        <w:t>积极推广多层次的粮经饲统筹、种养加结合、农林牧渔融合循环发展模式，</w:t>
      </w:r>
      <w:r>
        <w:rPr>
          <w:highlight w:val="none"/>
        </w:rPr>
        <w:t>促进生态循环农业发展。</w:t>
      </w:r>
    </w:p>
    <w:p>
      <w:pPr>
        <w:ind w:firstLine="0" w:firstLineChars="0"/>
        <w:jc w:val="center"/>
        <w:rPr>
          <w:rFonts w:eastAsia="方正黑体_GBK"/>
          <w:bCs/>
          <w:szCs w:val="32"/>
          <w:highlight w:val="none"/>
        </w:rPr>
      </w:pPr>
      <w:r>
        <w:rPr>
          <w:rFonts w:eastAsia="方正黑体_GBK"/>
          <w:bCs/>
          <w:szCs w:val="32"/>
          <w:highlight w:val="none"/>
        </w:rPr>
        <w:t>专栏21  农业绿色发展重点项目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地力提升：</w:t>
            </w:r>
            <w:r>
              <w:rPr>
                <w:rFonts w:eastAsia="方正楷体_GBK"/>
                <w:sz w:val="28"/>
                <w:szCs w:val="28"/>
                <w:highlight w:val="none"/>
              </w:rPr>
              <w:t>大力推广测土配方施肥、有机肥替代化肥，扩大绿肥种植面积，推行稻油等轮作模式，积极创建化肥减量增效示范区。到2025年，测土配方施肥覆盖面达90%以上，有机肥代替化肥推广面积达</w:t>
            </w:r>
            <w:r>
              <w:rPr>
                <w:rFonts w:eastAsia="方正楷体_GBK"/>
                <w:kern w:val="0"/>
                <w:sz w:val="28"/>
                <w:szCs w:val="28"/>
                <w:highlight w:val="none"/>
              </w:rPr>
              <w:t>**</w:t>
            </w:r>
            <w:r>
              <w:rPr>
                <w:rFonts w:eastAsia="方正楷体_GBK"/>
                <w:sz w:val="28"/>
                <w:szCs w:val="28"/>
                <w:highlight w:val="none"/>
              </w:rPr>
              <w:t>万亩。</w:t>
            </w:r>
          </w:p>
          <w:p>
            <w:pPr>
              <w:spacing w:line="500" w:lineRule="exact"/>
              <w:ind w:firstLine="560"/>
              <w:rPr>
                <w:rFonts w:eastAsia="宋体"/>
                <w:bCs/>
                <w:snapToGrid w:val="0"/>
                <w:color w:val="000000"/>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kern w:val="0"/>
                <w:sz w:val="28"/>
                <w:szCs w:val="28"/>
                <w:highlight w:val="none"/>
              </w:rPr>
              <w:t>撂荒地整治：</w:t>
            </w:r>
            <w:r>
              <w:rPr>
                <w:rFonts w:eastAsia="方正楷体_GBK"/>
                <w:kern w:val="0"/>
                <w:sz w:val="28"/>
                <w:szCs w:val="28"/>
                <w:highlight w:val="none"/>
              </w:rPr>
              <w:t>开展撂荒地专项整治攻坚行动，杜绝全年性撂荒，减少季节性撂荒，确保撂荒地得到有效整治。引导耕地规范流转，因地制宜有序推进撂荒地利用，逐步开展耕地撂荒动态监测。建立撂荒地扩种粮食台账，加大对种粮大户、新型主体复耕撂荒地、利用高标准农田建设项目治理撂荒地的支持。</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绿色防控：</w:t>
            </w:r>
            <w:r>
              <w:rPr>
                <w:rFonts w:eastAsia="方正楷体_GBK"/>
                <w:sz w:val="28"/>
                <w:szCs w:val="28"/>
                <w:highlight w:val="none"/>
              </w:rPr>
              <w:t>开展绿色防控示范园区建设，加大农作物病虫害统防统治财政投资力度，到2025年，农作物病虫害统防统治覆盖率达到</w:t>
            </w:r>
            <w:r>
              <w:rPr>
                <w:rFonts w:eastAsia="方正楷体_GBK"/>
                <w:kern w:val="0"/>
                <w:sz w:val="28"/>
                <w:szCs w:val="28"/>
                <w:highlight w:val="none"/>
              </w:rPr>
              <w:t>**</w:t>
            </w:r>
            <w:r>
              <w:rPr>
                <w:rFonts w:eastAsia="方正楷体_GBK"/>
                <w:sz w:val="28"/>
                <w:szCs w:val="28"/>
                <w:highlight w:val="none"/>
              </w:rPr>
              <w:t>%。</w:t>
            </w:r>
          </w:p>
          <w:p>
            <w:pPr>
              <w:spacing w:line="500" w:lineRule="exact"/>
              <w:ind w:firstLine="560"/>
              <w:rPr>
                <w:rFonts w:eastAsia="方正黑体_GBK"/>
                <w:sz w:val="28"/>
                <w:szCs w:val="28"/>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生态循环农业：</w:t>
            </w:r>
            <w:r>
              <w:rPr>
                <w:rFonts w:eastAsia="方正楷体_GBK"/>
                <w:sz w:val="28"/>
                <w:szCs w:val="28"/>
                <w:highlight w:val="none"/>
              </w:rPr>
              <w:t>开展农作物秸秆综合利用试点县创建，畜禽粪污综合利用率达</w:t>
            </w:r>
            <w:r>
              <w:rPr>
                <w:rFonts w:eastAsia="方正楷体_GBK"/>
                <w:kern w:val="0"/>
                <w:sz w:val="28"/>
                <w:szCs w:val="28"/>
                <w:highlight w:val="none"/>
              </w:rPr>
              <w:t>**</w:t>
            </w:r>
            <w:r>
              <w:rPr>
                <w:rFonts w:eastAsia="方正楷体_GBK"/>
                <w:sz w:val="28"/>
                <w:szCs w:val="28"/>
                <w:highlight w:val="none"/>
              </w:rPr>
              <w:t>%以上，农作物秸秆综合利用率达</w:t>
            </w:r>
            <w:r>
              <w:rPr>
                <w:rFonts w:eastAsia="方正楷体_GBK"/>
                <w:kern w:val="0"/>
                <w:sz w:val="28"/>
                <w:szCs w:val="28"/>
                <w:highlight w:val="none"/>
              </w:rPr>
              <w:t>**</w:t>
            </w:r>
            <w:r>
              <w:rPr>
                <w:rFonts w:eastAsia="方正楷体_GBK"/>
                <w:sz w:val="28"/>
                <w:szCs w:val="28"/>
                <w:highlight w:val="none"/>
              </w:rPr>
              <w:t>%。</w:t>
            </w:r>
          </w:p>
        </w:tc>
      </w:tr>
    </w:tbl>
    <w:p>
      <w:pPr>
        <w:pStyle w:val="5"/>
        <w:rPr>
          <w:rFonts w:ascii="Times New Roman"/>
          <w:highlight w:val="none"/>
        </w:rPr>
      </w:pPr>
      <w:bookmarkStart w:id="101" w:name="_Toc72746645"/>
      <w:bookmarkStart w:id="102" w:name="_Toc73979859"/>
      <w:r>
        <w:rPr>
          <w:rFonts w:ascii="Times New Roman"/>
          <w:highlight w:val="none"/>
        </w:rPr>
        <w:t>第四节  推进数字化，深入推进智慧农业建设</w:t>
      </w:r>
      <w:bookmarkEnd w:id="101"/>
      <w:bookmarkEnd w:id="102"/>
    </w:p>
    <w:p>
      <w:pPr>
        <w:ind w:firstLine="640"/>
        <w:rPr>
          <w:highlight w:val="none"/>
        </w:rPr>
      </w:pPr>
      <w:r>
        <w:rPr>
          <w:rFonts w:eastAsia="方正楷体_GBK"/>
          <w:bCs/>
          <w:szCs w:val="32"/>
          <w:highlight w:val="none"/>
        </w:rPr>
        <w:t>推进数字农业示范应用。</w:t>
      </w:r>
      <w:r>
        <w:rPr>
          <w:szCs w:val="32"/>
          <w:highlight w:val="none"/>
        </w:rPr>
        <w:t>开展全市数字农业示范工程建设，针对粮食、生猪、茶叶、苎麻、蜀宣花牛、小龙虾等主导特色产业，</w:t>
      </w:r>
      <w:r>
        <w:rPr>
          <w:highlight w:val="none"/>
        </w:rPr>
        <w:t>鼓励和支持数字化种养殖模式，建设一批智慧农场试点，通过种养殖环境数字化控制、水肥药精准施用、农情数据快速测报，推动</w:t>
      </w:r>
      <w:r>
        <w:rPr>
          <w:szCs w:val="32"/>
          <w:highlight w:val="none"/>
        </w:rPr>
        <w:t>物联网、大数据、遥感等技术在农业生产、管理环节的应用</w:t>
      </w:r>
      <w:r>
        <w:rPr>
          <w:highlight w:val="none"/>
        </w:rPr>
        <w:t>，</w:t>
      </w:r>
      <w:r>
        <w:rPr>
          <w:szCs w:val="32"/>
          <w:highlight w:val="none"/>
        </w:rPr>
        <w:t>促进新一代信息经济与种植业、畜牧业、渔业等深度融合。</w:t>
      </w:r>
    </w:p>
    <w:p>
      <w:pPr>
        <w:ind w:firstLine="640"/>
        <w:rPr>
          <w:szCs w:val="32"/>
          <w:highlight w:val="none"/>
        </w:rPr>
      </w:pPr>
      <w:r>
        <w:rPr>
          <w:rFonts w:eastAsia="方正楷体_GBK"/>
          <w:bCs/>
          <w:szCs w:val="32"/>
          <w:highlight w:val="none"/>
        </w:rPr>
        <w:t>搭建农业大数据应用平台。</w:t>
      </w:r>
      <w:r>
        <w:rPr>
          <w:szCs w:val="32"/>
          <w:highlight w:val="none"/>
        </w:rPr>
        <w:t>完善农业统计监测、预警防控、质量安全、综合服务等信息系统建设，推进农业应急指挥系统、智慧农业云平台等重大项目建设，构建集数据监测、分析、发布和服务等功能于一体的省、市、县三级接轨数据平台。依法依规推进达州市数字农业大数据开放共享，搭建信息共享横向通道，建立信息共享平台，打通公安、金融、水务、林业等各相关部门的信息共享通道。</w:t>
      </w:r>
    </w:p>
    <w:p>
      <w:pPr>
        <w:ind w:firstLine="640"/>
        <w:rPr>
          <w:szCs w:val="32"/>
          <w:highlight w:val="none"/>
        </w:rPr>
      </w:pPr>
      <w:r>
        <w:rPr>
          <w:rFonts w:eastAsia="方正楷体_GBK"/>
          <w:bCs/>
          <w:szCs w:val="32"/>
          <w:highlight w:val="none"/>
        </w:rPr>
        <w:t>开展智慧化设备应用示范研究。</w:t>
      </w:r>
      <w:r>
        <w:rPr>
          <w:szCs w:val="32"/>
          <w:highlight w:val="none"/>
        </w:rPr>
        <w:t>开展物联网、大数据、智能装备、遥感监测、智能识别等设施装备整体应用示范研究，在工厂化农业、养殖、农机、设施园艺等领域，促进大数据和智能化技术在农产品生产管理、市场销售、安全追溯等环节融合应用，引导农业生产经营主体主动应用智慧农业技术。</w:t>
      </w:r>
    </w:p>
    <w:p>
      <w:pPr>
        <w:ind w:firstLine="0" w:firstLineChars="0"/>
        <w:jc w:val="center"/>
        <w:rPr>
          <w:rFonts w:eastAsia="方正黑体_GBK"/>
          <w:bCs/>
          <w:szCs w:val="32"/>
          <w:highlight w:val="none"/>
        </w:rPr>
      </w:pPr>
    </w:p>
    <w:p>
      <w:pPr>
        <w:ind w:firstLine="0" w:firstLineChars="0"/>
        <w:jc w:val="center"/>
        <w:rPr>
          <w:rFonts w:eastAsia="方正黑体_GBK"/>
          <w:bCs/>
          <w:szCs w:val="32"/>
          <w:highlight w:val="none"/>
        </w:rPr>
      </w:pPr>
      <w:r>
        <w:rPr>
          <w:rFonts w:eastAsia="方正黑体_GBK"/>
          <w:bCs/>
          <w:szCs w:val="32"/>
          <w:highlight w:val="none"/>
        </w:rPr>
        <w:t>专栏22  智慧农业重点项目</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500" w:lineRule="exact"/>
              <w:ind w:firstLine="560"/>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智慧农业建设</w:t>
            </w:r>
            <w:r>
              <w:rPr>
                <w:rFonts w:eastAsia="宋体"/>
                <w:bCs/>
                <w:snapToGrid w:val="0"/>
                <w:color w:val="000000"/>
                <w:kern w:val="0"/>
                <w:sz w:val="28"/>
                <w:szCs w:val="28"/>
                <w:highlight w:val="none"/>
              </w:rPr>
              <w:t>：</w:t>
            </w:r>
            <w:r>
              <w:rPr>
                <w:rFonts w:eastAsia="方正楷体_GBK"/>
                <w:kern w:val="0"/>
                <w:sz w:val="28"/>
                <w:szCs w:val="28"/>
                <w:highlight w:val="none"/>
              </w:rPr>
              <w:t>全力推进新一代信息技术在农业各领域深度应用，示范带动、强化推广，加速农业产业数字化进程，促进“互联网+”现代农业创新发展，推进现代农业园区数字农业工程，支持通川区实施数字“三农”试点县项目，开展县级数字“三农”大数据平台试点建设，支持大竹县实施明月山川渝协作核心示范带智慧农业建设项目，支持渠县实施智慧农业建设项目。到2025年，全市建设</w:t>
            </w:r>
            <w:r>
              <w:rPr>
                <w:rFonts w:eastAsia="方正楷体_GBK"/>
                <w:kern w:val="0"/>
                <w:sz w:val="28"/>
                <w:szCs w:val="28"/>
                <w:highlight w:val="none"/>
              </w:rPr>
              <w:t>**</w:t>
            </w:r>
            <w:r>
              <w:rPr>
                <w:rFonts w:eastAsia="方正楷体_GBK"/>
                <w:kern w:val="0"/>
                <w:sz w:val="28"/>
                <w:szCs w:val="28"/>
                <w:highlight w:val="none"/>
              </w:rPr>
              <w:t>个数字农业示范基地。</w:t>
            </w:r>
          </w:p>
        </w:tc>
      </w:tr>
    </w:tbl>
    <w:p>
      <w:pPr>
        <w:ind w:firstLine="0" w:firstLineChars="0"/>
        <w:jc w:val="center"/>
        <w:outlineLvl w:val="1"/>
        <w:rPr>
          <w:rFonts w:eastAsia="方正黑体_GBK"/>
          <w:bCs/>
          <w:szCs w:val="32"/>
          <w:highlight w:val="none"/>
        </w:rPr>
      </w:pPr>
      <w:bookmarkStart w:id="103" w:name="_Toc72746646"/>
      <w:bookmarkStart w:id="104" w:name="_Toc73979860"/>
      <w:r>
        <w:rPr>
          <w:rFonts w:eastAsia="方正黑体_GBK"/>
          <w:bCs/>
          <w:szCs w:val="32"/>
          <w:highlight w:val="none"/>
        </w:rPr>
        <w:t>第五章  培育壮大新型农业经营主体，加快经营体系现代化</w:t>
      </w:r>
      <w:bookmarkEnd w:id="103"/>
      <w:bookmarkEnd w:id="104"/>
    </w:p>
    <w:p>
      <w:pPr>
        <w:pStyle w:val="5"/>
        <w:rPr>
          <w:rFonts w:ascii="Times New Roman"/>
          <w:highlight w:val="none"/>
        </w:rPr>
      </w:pPr>
      <w:bookmarkStart w:id="105" w:name="_Toc73979861"/>
      <w:bookmarkStart w:id="106" w:name="_Toc72746647"/>
      <w:r>
        <w:rPr>
          <w:rFonts w:ascii="Times New Roman"/>
          <w:highlight w:val="none"/>
        </w:rPr>
        <w:t>第一节  发展现代农户家庭农场，提高农业综合效益</w:t>
      </w:r>
      <w:bookmarkEnd w:id="105"/>
      <w:bookmarkEnd w:id="106"/>
    </w:p>
    <w:p>
      <w:pPr>
        <w:ind w:firstLine="640"/>
        <w:rPr>
          <w:szCs w:val="32"/>
          <w:highlight w:val="none"/>
        </w:rPr>
      </w:pPr>
      <w:r>
        <w:rPr>
          <w:szCs w:val="32"/>
          <w:highlight w:val="none"/>
        </w:rPr>
        <w:t>按照“发展一批、规范一批、提升一批、推介一批”的思路，加快培育一批“规模适度、生产集约、管理先进、效益明显”的高质量家庭农场，把符合条件的种养大户、专业大户纳入家庭农场名录系统进行常态化管理，引导家庭农场适度规模经营，带动小农户培育发展成现代农户家庭农场，建立家庭农场培育后备库。推进实施家庭农场示范创建工程，整县制推进省级家庭农场示范县创建，率先在示范县实现“一组一场”目标。建立家庭农场食用农产品合格证制度，探索建立家庭农场适度规模和效益双标准，探索开展第三方评估，健全工作绩效评价机制，强化家庭农场内部规范管理，不断提升家庭农场集约化经营水平。</w:t>
      </w:r>
    </w:p>
    <w:p>
      <w:pPr>
        <w:pStyle w:val="5"/>
        <w:rPr>
          <w:rFonts w:ascii="Times New Roman"/>
          <w:highlight w:val="none"/>
        </w:rPr>
      </w:pPr>
      <w:bookmarkStart w:id="107" w:name="_Toc72746648"/>
      <w:bookmarkStart w:id="108" w:name="_Toc73979862"/>
      <w:r>
        <w:rPr>
          <w:rFonts w:ascii="Times New Roman"/>
          <w:highlight w:val="none"/>
        </w:rPr>
        <w:t>第二节  推动农民合作社提档升级，增强为农服务能力</w:t>
      </w:r>
      <w:bookmarkEnd w:id="107"/>
      <w:bookmarkEnd w:id="108"/>
    </w:p>
    <w:p>
      <w:pPr>
        <w:ind w:firstLine="640"/>
        <w:rPr>
          <w:szCs w:val="32"/>
          <w:highlight w:val="none"/>
        </w:rPr>
      </w:pPr>
      <w:r>
        <w:rPr>
          <w:color w:val="000000"/>
          <w:szCs w:val="32"/>
          <w:highlight w:val="none"/>
        </w:rPr>
        <w:t>建立国省市县示范社四级联创机制，积极开展农民合作社质量提升整县推进试点创建。发展壮大单体合作社，支持组建联合社</w:t>
      </w:r>
      <w:bookmarkStart w:id="109" w:name="_Hlk62743141"/>
      <w:r>
        <w:rPr>
          <w:color w:val="000000"/>
          <w:szCs w:val="32"/>
          <w:highlight w:val="none"/>
        </w:rPr>
        <w:t>，加强基层供销社建设，采取结对子、股份合作、托管等方式推进供销社、农村集体经济组织、农民合作社融合发展。</w:t>
      </w:r>
      <w:r>
        <w:rPr>
          <w:szCs w:val="32"/>
          <w:highlight w:val="none"/>
        </w:rPr>
        <w:t>强化农民合作社</w:t>
      </w:r>
      <w:bookmarkEnd w:id="109"/>
      <w:r>
        <w:rPr>
          <w:szCs w:val="32"/>
          <w:highlight w:val="none"/>
        </w:rPr>
        <w:t>服务能力建设，提升技术应用和生产经营能力，改善生产条件，应用先进技术，建设产地初加工设施，细化金融、绿色发展、产品寄递、电商销售等服务措施，</w:t>
      </w:r>
      <w:r>
        <w:rPr>
          <w:color w:val="000000"/>
          <w:szCs w:val="32"/>
          <w:highlight w:val="none"/>
        </w:rPr>
        <w:t>提升合作社规范化水平和服务能力</w:t>
      </w:r>
      <w:r>
        <w:rPr>
          <w:szCs w:val="32"/>
          <w:highlight w:val="none"/>
        </w:rPr>
        <w:t>。</w:t>
      </w:r>
      <w:r>
        <w:rPr>
          <w:color w:val="000000"/>
          <w:szCs w:val="32"/>
          <w:highlight w:val="none"/>
        </w:rPr>
        <w:t>继续加大对农民合作社的扶持力度，重点在土地使用、税费减免、资金信贷、证照办理等方面给予优惠。</w:t>
      </w:r>
    </w:p>
    <w:p>
      <w:pPr>
        <w:pStyle w:val="5"/>
        <w:rPr>
          <w:rFonts w:ascii="Times New Roman"/>
          <w:highlight w:val="none"/>
        </w:rPr>
      </w:pPr>
      <w:bookmarkStart w:id="110" w:name="_Toc73979863"/>
      <w:bookmarkStart w:id="111" w:name="_Toc72746649"/>
      <w:r>
        <w:rPr>
          <w:rFonts w:ascii="Times New Roman"/>
          <w:highlight w:val="none"/>
        </w:rPr>
        <w:t>第三节  支持龙头企业做大做强，加快农业产业化发展</w:t>
      </w:r>
      <w:bookmarkEnd w:id="110"/>
      <w:bookmarkEnd w:id="111"/>
    </w:p>
    <w:p>
      <w:pPr>
        <w:ind w:firstLine="640"/>
        <w:rPr>
          <w:szCs w:val="32"/>
          <w:highlight w:val="none"/>
        </w:rPr>
      </w:pPr>
      <w:r>
        <w:rPr>
          <w:szCs w:val="32"/>
          <w:highlight w:val="none"/>
        </w:rPr>
        <w:t>支持龙头企业完善现代企业治理体系，建立健全全产业全要素链条，创新提升技术装备水平，增强参与金融市场能力，显著提升自身综合实力。加快培育国家、省、市、县级农业产业化重点龙头企业，持续壮大龙头企业队伍，构建形成“四级联动”发展格局。持续强化龙头企业带动作用，充分发挥龙头企业项目优势、资金优势、信息优势，实现以企带村发展。弘扬企业家精神，建立乡村企业家库，培育一批具有全球战略眼光、市场开拓精神、管理创新能力的优秀乡村企业家。</w:t>
      </w:r>
    </w:p>
    <w:p>
      <w:pPr>
        <w:pStyle w:val="5"/>
        <w:rPr>
          <w:rFonts w:ascii="Times New Roman"/>
          <w:highlight w:val="none"/>
        </w:rPr>
      </w:pPr>
      <w:bookmarkStart w:id="112" w:name="_Toc73979864"/>
      <w:bookmarkStart w:id="113" w:name="_Toc72746650"/>
      <w:r>
        <w:rPr>
          <w:rFonts w:ascii="Times New Roman"/>
          <w:highlight w:val="none"/>
        </w:rPr>
        <w:t>第四节  培育专业化社会化服务组织，助推现代农业发展</w:t>
      </w:r>
      <w:bookmarkEnd w:id="112"/>
      <w:bookmarkEnd w:id="113"/>
    </w:p>
    <w:p>
      <w:pPr>
        <w:ind w:firstLine="640"/>
        <w:rPr>
          <w:szCs w:val="32"/>
          <w:highlight w:val="none"/>
        </w:rPr>
      </w:pPr>
      <w:r>
        <w:rPr>
          <w:szCs w:val="32"/>
          <w:highlight w:val="none"/>
        </w:rPr>
        <w:t>加大对服务组织的政策支持力度，构建公益性服务和经营性服务相结合、专业性服务和综合性服务相协调的农业社会化服务体系。推动建立市、县两级农业社会化服务主体名录库，引导和鼓励各类新型农业经营主体“双主体”化发展。加强农资采供、产品营销、农业科技、农业信息、质量监测等服务能力建设，鼓励支持农业社会化服务组织从单一环节服务向综合性全程服务发展，实现农业社会化服务能力全面提升。加强供销社社会化服务体系建设。支持龙头企业建设区域性农业全产业链综合服务中心，开展社会化服务规范创新试点，发展合作式、托管式、订单式、对接式、全程式等综合性服务模式。</w:t>
      </w:r>
    </w:p>
    <w:p>
      <w:pPr>
        <w:pStyle w:val="5"/>
        <w:rPr>
          <w:rFonts w:ascii="Times New Roman"/>
          <w:highlight w:val="none"/>
        </w:rPr>
      </w:pPr>
      <w:bookmarkStart w:id="114" w:name="_Toc73979865"/>
      <w:bookmarkStart w:id="115" w:name="_Toc72746651"/>
      <w:r>
        <w:rPr>
          <w:rFonts w:ascii="Times New Roman"/>
          <w:highlight w:val="none"/>
        </w:rPr>
        <w:t>第五节  完善利益联结机制，带动农民增收致富</w:t>
      </w:r>
      <w:bookmarkEnd w:id="114"/>
      <w:bookmarkEnd w:id="115"/>
    </w:p>
    <w:p>
      <w:pPr>
        <w:ind w:firstLine="640"/>
        <w:rPr>
          <w:color w:val="000000"/>
          <w:szCs w:val="32"/>
          <w:highlight w:val="none"/>
        </w:rPr>
      </w:pPr>
      <w:r>
        <w:rPr>
          <w:szCs w:val="32"/>
          <w:highlight w:val="none"/>
        </w:rPr>
        <w:t>支持小农户与新型农业经营主体建立公平合理的“收益分成”“资产入股”等利益联结机制。支持龙头企业与村（社区）或新型农业经营主体开展多种形式的合作与联合，支持组建农业产业化联合体。积极</w:t>
      </w:r>
      <w:r>
        <w:rPr>
          <w:color w:val="000000"/>
          <w:szCs w:val="32"/>
          <w:highlight w:val="none"/>
        </w:rPr>
        <w:t>推进农业产业化带农惠农，</w:t>
      </w:r>
      <w:r>
        <w:rPr>
          <w:szCs w:val="32"/>
          <w:highlight w:val="none"/>
        </w:rPr>
        <w:t>大力推广生产托管、入股分红、订单农业等合作模式，通过产业带动、项目共建、入股经营、劳务合作、人才交流等方式</w:t>
      </w:r>
      <w:r>
        <w:rPr>
          <w:color w:val="000000"/>
          <w:szCs w:val="32"/>
          <w:highlight w:val="none"/>
        </w:rPr>
        <w:t>建立紧密利益联结机制，实现小农户与现代农业发展有机衔接，将产业链打造成利益共享、命运与共的产业融合共同体。</w:t>
      </w:r>
    </w:p>
    <w:p>
      <w:pPr>
        <w:ind w:firstLine="0" w:firstLineChars="0"/>
        <w:jc w:val="center"/>
        <w:rPr>
          <w:rFonts w:eastAsia="方正黑体_GBK"/>
          <w:bCs/>
          <w:szCs w:val="32"/>
          <w:highlight w:val="none"/>
        </w:rPr>
      </w:pPr>
      <w:r>
        <w:rPr>
          <w:rFonts w:eastAsia="方正黑体_GBK"/>
          <w:bCs/>
          <w:szCs w:val="32"/>
          <w:highlight w:val="none"/>
        </w:rPr>
        <w:t>专栏23  新型经营主体培育重点项目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现代农户家庭农场培育：</w:t>
            </w:r>
            <w:r>
              <w:rPr>
                <w:rFonts w:eastAsia="方正楷体_GBK"/>
                <w:sz w:val="28"/>
                <w:szCs w:val="28"/>
                <w:highlight w:val="none"/>
              </w:rPr>
              <w:t>力争到2025年，实现每个村民小组有家庭农场，每个行政村有示范场，每个乡镇有省级示范场。</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农民合作社培育：</w:t>
            </w:r>
            <w:r>
              <w:rPr>
                <w:rFonts w:eastAsia="方正楷体_GBK"/>
                <w:sz w:val="28"/>
                <w:szCs w:val="28"/>
                <w:highlight w:val="none"/>
              </w:rPr>
              <w:t>到2025年，实现每个村有1个以上高质量农民合作社，市级及以上农民合作社示范社</w:t>
            </w:r>
            <w:r>
              <w:rPr>
                <w:rFonts w:eastAsia="方正楷体_GBK"/>
                <w:kern w:val="0"/>
                <w:sz w:val="28"/>
                <w:szCs w:val="28"/>
                <w:highlight w:val="none"/>
              </w:rPr>
              <w:t>**</w:t>
            </w:r>
            <w:r>
              <w:rPr>
                <w:rFonts w:eastAsia="方正楷体_GBK"/>
                <w:sz w:val="28"/>
                <w:szCs w:val="28"/>
                <w:highlight w:val="none"/>
              </w:rPr>
              <w:t>家。</w:t>
            </w:r>
          </w:p>
          <w:p>
            <w:pPr>
              <w:spacing w:line="500" w:lineRule="exact"/>
              <w:ind w:firstLine="560"/>
              <w:rPr>
                <w:sz w:val="28"/>
                <w:szCs w:val="28"/>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龙头企业引培：</w:t>
            </w:r>
            <w:r>
              <w:rPr>
                <w:rFonts w:eastAsia="方正楷体_GBK"/>
                <w:sz w:val="28"/>
                <w:szCs w:val="28"/>
                <w:highlight w:val="none"/>
              </w:rPr>
              <w:t>到2025年，全市规模以上农产品加工企业达500家以上，实现每个产业有1家市级以上龙头企业带动，引进“三类500强”知名农业企业</w:t>
            </w:r>
            <w:r>
              <w:rPr>
                <w:rFonts w:eastAsia="方正楷体_GBK"/>
                <w:kern w:val="0"/>
                <w:sz w:val="28"/>
                <w:szCs w:val="28"/>
                <w:highlight w:val="none"/>
              </w:rPr>
              <w:t>**</w:t>
            </w:r>
            <w:r>
              <w:rPr>
                <w:rFonts w:eastAsia="方正楷体_GBK"/>
                <w:sz w:val="28"/>
                <w:szCs w:val="28"/>
                <w:highlight w:val="none"/>
              </w:rPr>
              <w:t>家，培育市级及以上重点龙头企业</w:t>
            </w:r>
            <w:r>
              <w:rPr>
                <w:rFonts w:eastAsia="方正楷体_GBK"/>
                <w:kern w:val="0"/>
                <w:sz w:val="28"/>
                <w:szCs w:val="28"/>
                <w:highlight w:val="none"/>
              </w:rPr>
              <w:t>**</w:t>
            </w:r>
            <w:r>
              <w:rPr>
                <w:rFonts w:eastAsia="方正楷体_GBK"/>
                <w:sz w:val="28"/>
                <w:szCs w:val="28"/>
                <w:highlight w:val="none"/>
              </w:rPr>
              <w:t>家。</w:t>
            </w:r>
          </w:p>
          <w:p>
            <w:pPr>
              <w:spacing w:line="500" w:lineRule="exact"/>
              <w:ind w:firstLine="560"/>
              <w:rPr>
                <w:rFonts w:eastAsia="方正楷体_GBK"/>
                <w:sz w:val="28"/>
                <w:szCs w:val="28"/>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专业化社会化服务组织培育：</w:t>
            </w:r>
            <w:r>
              <w:rPr>
                <w:rFonts w:eastAsia="方正楷体_GBK"/>
                <w:sz w:val="28"/>
                <w:szCs w:val="28"/>
                <w:highlight w:val="none"/>
              </w:rPr>
              <w:t>到2025年，实现每个县（市、区）有5-10个专业化社会化农业服务组织，农业社会化服务组织达</w:t>
            </w:r>
            <w:r>
              <w:rPr>
                <w:rFonts w:eastAsia="方正楷体_GBK"/>
                <w:kern w:val="0"/>
                <w:sz w:val="28"/>
                <w:szCs w:val="28"/>
                <w:highlight w:val="none"/>
              </w:rPr>
              <w:t>**</w:t>
            </w:r>
            <w:r>
              <w:rPr>
                <w:rFonts w:eastAsia="方正楷体_GBK"/>
                <w:sz w:val="28"/>
                <w:szCs w:val="28"/>
                <w:highlight w:val="none"/>
              </w:rPr>
              <w:t>个以上。</w:t>
            </w:r>
          </w:p>
          <w:p>
            <w:pPr>
              <w:spacing w:line="500" w:lineRule="exact"/>
              <w:ind w:firstLine="560"/>
              <w:rPr>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完善利益联结机制：</w:t>
            </w:r>
            <w:r>
              <w:rPr>
                <w:rFonts w:eastAsia="方正楷体_GBK"/>
                <w:sz w:val="28"/>
                <w:szCs w:val="28"/>
                <w:highlight w:val="none"/>
              </w:rPr>
              <w:t>到2025年，参与利益联结机制的农户覆盖率达60%以上。</w:t>
            </w:r>
          </w:p>
        </w:tc>
      </w:tr>
    </w:tbl>
    <w:p>
      <w:pPr>
        <w:ind w:firstLine="72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bookmarkStart w:id="116" w:name="_Toc72746652"/>
    </w:p>
    <w:p>
      <w:pPr>
        <w:ind w:firstLine="720"/>
        <w:jc w:val="center"/>
        <w:outlineLvl w:val="0"/>
        <w:rPr>
          <w:rFonts w:eastAsia="方正小标宋简体"/>
          <w:bCs/>
          <w:kern w:val="44"/>
          <w:sz w:val="36"/>
          <w:szCs w:val="44"/>
          <w:highlight w:val="none"/>
        </w:rPr>
      </w:pPr>
      <w:bookmarkStart w:id="117" w:name="_Toc73979866"/>
      <w:r>
        <w:rPr>
          <w:rFonts w:eastAsia="方正小标宋简体"/>
          <w:bCs/>
          <w:kern w:val="44"/>
          <w:sz w:val="36"/>
          <w:szCs w:val="44"/>
          <w:highlight w:val="none"/>
        </w:rPr>
        <w:t>第三篇  富农惠农  深入推进农村现代化</w:t>
      </w:r>
      <w:bookmarkEnd w:id="116"/>
      <w:bookmarkEnd w:id="117"/>
    </w:p>
    <w:p>
      <w:pPr>
        <w:ind w:firstLine="640"/>
        <w:rPr>
          <w:highlight w:val="none"/>
        </w:rPr>
      </w:pPr>
      <w:r>
        <w:rPr>
          <w:highlight w:val="none"/>
        </w:rPr>
        <w:t>把乡村建设摆在社会主义现代化达州建设的重要位置，科学推进乡村规划建设，加快补齐农村基础设施和公共服务短板，显著改善农村生产生活条件，推动乡村文化振兴，提升乡村治理现代化水平，打造宜居宜业美丽乡村。</w:t>
      </w:r>
    </w:p>
    <w:p>
      <w:pPr>
        <w:ind w:firstLine="0" w:firstLineChars="0"/>
        <w:jc w:val="center"/>
        <w:outlineLvl w:val="1"/>
        <w:rPr>
          <w:rFonts w:eastAsia="方正黑体_GBK"/>
          <w:bCs/>
          <w:szCs w:val="32"/>
          <w:highlight w:val="none"/>
        </w:rPr>
      </w:pPr>
      <w:bookmarkStart w:id="118" w:name="_Toc72746653"/>
      <w:bookmarkStart w:id="119" w:name="_Toc73979867"/>
      <w:r>
        <w:rPr>
          <w:rFonts w:eastAsia="方正黑体_GBK"/>
          <w:bCs/>
          <w:szCs w:val="32"/>
          <w:highlight w:val="none"/>
        </w:rPr>
        <w:t>第一章  以生态宜居为重点，打造美丽宜居乡村</w:t>
      </w:r>
      <w:bookmarkEnd w:id="118"/>
      <w:bookmarkEnd w:id="119"/>
    </w:p>
    <w:p>
      <w:pPr>
        <w:pStyle w:val="5"/>
        <w:rPr>
          <w:rFonts w:ascii="Times New Roman"/>
          <w:highlight w:val="none"/>
        </w:rPr>
      </w:pPr>
      <w:bookmarkStart w:id="120" w:name="_Toc73979868"/>
      <w:bookmarkStart w:id="121" w:name="_Toc72746654"/>
      <w:r>
        <w:rPr>
          <w:rFonts w:ascii="Times New Roman"/>
          <w:highlight w:val="none"/>
        </w:rPr>
        <w:t>第一节  加快推进村规划建设</w:t>
      </w:r>
      <w:bookmarkEnd w:id="120"/>
    </w:p>
    <w:p>
      <w:pPr>
        <w:ind w:firstLine="640"/>
        <w:rPr>
          <w:highlight w:val="none"/>
        </w:rPr>
      </w:pPr>
      <w:r>
        <w:rPr>
          <w:highlight w:val="none"/>
        </w:rPr>
        <w:t>统筹县域城镇和村庄规划建设，统筹规划与产业、乡村发展的关系，积极有序推进“多规合一”实用性村规划编制工作，积极探索“中心镇带一般镇、中心村带一般村”的跨行政区规划编制模式，实现有条件、有需求的村规划全覆盖。立足当地实际，强化规划对乡村风貌的引导作用，加强对传统村落、传统民居和历史文化名村名镇等资源的保护力度，注重保留乡土味道，防止盲目大拆大建，让乡村望得见山、看得见水、留得住乡愁。按照规划有序开展建设，充分尊重农民意愿，打造集约高效生产空间、营造美丽宜居生活空间、严格保护生态空间。</w:t>
      </w:r>
    </w:p>
    <w:p>
      <w:pPr>
        <w:pStyle w:val="5"/>
        <w:rPr>
          <w:rFonts w:ascii="Times New Roman"/>
          <w:highlight w:val="none"/>
        </w:rPr>
      </w:pPr>
      <w:bookmarkStart w:id="122" w:name="_Toc73979869"/>
      <w:r>
        <w:rPr>
          <w:rFonts w:ascii="Times New Roman"/>
          <w:highlight w:val="none"/>
        </w:rPr>
        <w:t>第二节  加强农村基础设施建设</w:t>
      </w:r>
      <w:bookmarkEnd w:id="121"/>
      <w:bookmarkEnd w:id="122"/>
    </w:p>
    <w:p>
      <w:pPr>
        <w:ind w:firstLine="640"/>
        <w:rPr>
          <w:highlight w:val="none"/>
        </w:rPr>
      </w:pPr>
      <w:r>
        <w:rPr>
          <w:rFonts w:eastAsia="方正楷体_GBK"/>
          <w:bCs/>
          <w:szCs w:val="32"/>
          <w:highlight w:val="none"/>
        </w:rPr>
        <w:t>实施农村道路畅通工程。</w:t>
      </w:r>
      <w:r>
        <w:rPr>
          <w:highlight w:val="none"/>
        </w:rPr>
        <w:t>推进“四好农村路”示范创建，积极推进实施村道公路联网延伸工程，启动实施撤并建制村畅通工程和乡村振兴产业路、旅游路支撑工程，全面升级农村道路交通安防设施。实施农村公路提档升级，稳步推进村内通组路、入户路建设，着力推进农村公路窄路基加宽、安保工程建设。推进城乡客运一体化，全面实施农村客运“金通工程”，实现“户户能通车、村村通客车”。全面实施县乡村三级“路长制”，深化农村公路管理养护体制改革。</w:t>
      </w:r>
    </w:p>
    <w:p>
      <w:pPr>
        <w:ind w:firstLine="616"/>
        <w:rPr>
          <w:spacing w:val="-6"/>
          <w:szCs w:val="32"/>
          <w:highlight w:val="none"/>
        </w:rPr>
      </w:pPr>
      <w:r>
        <w:rPr>
          <w:rFonts w:eastAsia="方正楷体_GBK"/>
          <w:bCs/>
          <w:spacing w:val="-6"/>
          <w:szCs w:val="32"/>
          <w:highlight w:val="none"/>
        </w:rPr>
        <w:t>加强农村水利设施建设。</w:t>
      </w:r>
      <w:r>
        <w:rPr>
          <w:spacing w:val="-6"/>
          <w:szCs w:val="32"/>
          <w:highlight w:val="none"/>
        </w:rPr>
        <w:t>加强农村集中式饮用水水源保护管理，因地制宜开展村镇供水水源工程建设。实施村镇供水保障工程，有条件的地方推进城乡供水一体化和村镇供水规模化发展。</w:t>
      </w:r>
    </w:p>
    <w:p>
      <w:pPr>
        <w:ind w:firstLine="640"/>
        <w:rPr>
          <w:szCs w:val="32"/>
          <w:highlight w:val="none"/>
        </w:rPr>
      </w:pPr>
      <w:r>
        <w:rPr>
          <w:rFonts w:eastAsia="方正楷体_GBK"/>
          <w:bCs/>
          <w:szCs w:val="32"/>
          <w:highlight w:val="none"/>
        </w:rPr>
        <w:t>统筹城乡电网发展。</w:t>
      </w:r>
      <w:r>
        <w:rPr>
          <w:szCs w:val="32"/>
          <w:highlight w:val="none"/>
        </w:rPr>
        <w:t>推进农村电网改造升级和农村动力电全覆盖，全面提升农村供电质量、供电水平和服务能力，切实解决农村生产生活用电负荷不足的问题，提高供电智能化、信息化水平。到2025年，全面使用智能电表，全面实现电子化、网络化电费缴纳。</w:t>
      </w:r>
    </w:p>
    <w:p>
      <w:pPr>
        <w:ind w:firstLine="640"/>
        <w:rPr>
          <w:szCs w:val="32"/>
          <w:highlight w:val="none"/>
        </w:rPr>
      </w:pPr>
      <w:r>
        <w:rPr>
          <w:rFonts w:eastAsia="方正楷体_GBK"/>
          <w:bCs/>
          <w:szCs w:val="32"/>
          <w:highlight w:val="none"/>
        </w:rPr>
        <w:t>构建农村现代能源体系。</w:t>
      </w:r>
      <w:r>
        <w:rPr>
          <w:szCs w:val="32"/>
          <w:highlight w:val="none"/>
        </w:rPr>
        <w:t>加快实施场镇、新型社区天然气管网工程，推进建设重点集镇供气工程，配套完善供气管网，推动供气设施向农村延伸，支持建设安全可靠的乡村储气罐站和微管网供气系统，扩大村一级覆盖面。积极发展新能源，支持生物质供热、规模化生物质天然气、大型沼气、太阳能、风能等技术的推广应用，加快规模化大型沼气工程、农村沼气种养循环综合利用工程、生物质炉灶等燃料清洁化工程建设，推进农村能源消费升级。到2025年，有条件的行政村实现户户通天然气。</w:t>
      </w:r>
    </w:p>
    <w:p>
      <w:pPr>
        <w:ind w:firstLine="640"/>
        <w:rPr>
          <w:szCs w:val="32"/>
          <w:highlight w:val="none"/>
        </w:rPr>
      </w:pPr>
      <w:r>
        <w:rPr>
          <w:rFonts w:eastAsia="方正楷体_GBK"/>
          <w:bCs/>
          <w:szCs w:val="32"/>
          <w:highlight w:val="none"/>
        </w:rPr>
        <w:t>实施网络提升工程。</w:t>
      </w:r>
      <w:r>
        <w:rPr>
          <w:szCs w:val="32"/>
          <w:highlight w:val="none"/>
        </w:rPr>
        <w:t>推动数字乡村建设，加强农村广播电视建设，加大对农村移动通信基站铁塔建设，积极争取实施国家“宽带乡村”试点工程，加快推进农村地区光纤进村入户，推进农村地区光纤宽带和4G及以上移动通信网络深度覆盖、5G网络向农村延伸，实现户户通宽带，解决网络入户“最后一公里”问题。推进“智慧广电”网络乡村全覆盖。到2025年，基本实现乡村“4G深化普及、5G创新应用”。</w:t>
      </w:r>
    </w:p>
    <w:p>
      <w:pPr>
        <w:ind w:firstLine="640"/>
        <w:rPr>
          <w:szCs w:val="32"/>
          <w:highlight w:val="none"/>
        </w:rPr>
      </w:pPr>
      <w:r>
        <w:rPr>
          <w:rFonts w:eastAsia="方正楷体_GBK"/>
          <w:bCs/>
          <w:szCs w:val="32"/>
          <w:highlight w:val="none"/>
        </w:rPr>
        <w:t>实施村级综合服务设施提升工程。</w:t>
      </w:r>
      <w:r>
        <w:rPr>
          <w:szCs w:val="32"/>
          <w:highlight w:val="none"/>
        </w:rPr>
        <w:t>整合优化公共服务和行政审批职责，组织开展互助服务，打造“一门式办理”“一站式服务”的综合服务平台。在村（社区）建立“互联网+服务”站点，逐步形成完善的乡村便民服务体系。实施乡村教育提升、健康乡村、农村养老、农村公益性公墓规划建设、农村生活综合服务等计划，合理配置教育、医疗、公共文化等资源。</w:t>
      </w:r>
    </w:p>
    <w:p>
      <w:pPr>
        <w:pStyle w:val="5"/>
        <w:rPr>
          <w:rFonts w:ascii="Times New Roman"/>
          <w:highlight w:val="none"/>
        </w:rPr>
      </w:pPr>
      <w:bookmarkStart w:id="123" w:name="_Toc73979870"/>
      <w:bookmarkStart w:id="124" w:name="_Toc72746655"/>
      <w:r>
        <w:rPr>
          <w:rFonts w:ascii="Times New Roman"/>
          <w:highlight w:val="none"/>
        </w:rPr>
        <w:t>第三节  强化人居环境整治提升</w:t>
      </w:r>
      <w:bookmarkEnd w:id="123"/>
      <w:bookmarkEnd w:id="124"/>
    </w:p>
    <w:p>
      <w:pPr>
        <w:ind w:firstLine="640"/>
        <w:rPr>
          <w:szCs w:val="32"/>
          <w:highlight w:val="none"/>
        </w:rPr>
      </w:pPr>
      <w:r>
        <w:rPr>
          <w:rFonts w:eastAsia="方正楷体_GBK"/>
          <w:bCs/>
          <w:szCs w:val="32"/>
          <w:highlight w:val="none"/>
        </w:rPr>
        <w:t>开展农村厕所整治。</w:t>
      </w:r>
      <w:r>
        <w:rPr>
          <w:szCs w:val="32"/>
          <w:highlight w:val="none"/>
        </w:rPr>
        <w:t>重点推进农村户用卫生厕所建设和旱厕改造，全面消除农村无厕户和露天粪坑基本普及卫生厕所。持续开展农村“厕所革命”整村推进示范村建设，建立健全农村厕所常态长效管护机制。统筹推进村公共服务中心、农村公路沿线、客运站点配套建设公共厕所。分类有序推进无害化卫生厕所（改）建，因地制宜推进厕所粪污分散收集、集中收集或接入污水管网统一处理，推行农牧循环、就近消纳和综合利用，确保粪污无害化处理。</w:t>
      </w:r>
    </w:p>
    <w:p>
      <w:pPr>
        <w:ind w:firstLine="632"/>
        <w:rPr>
          <w:spacing w:val="-2"/>
          <w:highlight w:val="none"/>
        </w:rPr>
      </w:pPr>
      <w:r>
        <w:rPr>
          <w:rFonts w:eastAsia="方正楷体_GBK"/>
          <w:bCs/>
          <w:spacing w:val="-2"/>
          <w:szCs w:val="32"/>
          <w:highlight w:val="none"/>
        </w:rPr>
        <w:t>提升农村生活垃圾治理能力。</w:t>
      </w:r>
      <w:r>
        <w:rPr>
          <w:spacing w:val="-2"/>
          <w:szCs w:val="32"/>
          <w:highlight w:val="none"/>
        </w:rPr>
        <w:t>加强农村垃圾分类宣传工作，引导村民养成垃圾分类处置习惯，大力推进农村生活垃圾就地分类减量、资源化利用和无害化处理。推行“户集—村收—乡运—县处理”的垃圾收运处置模式，加强农村生活垃圾收转运处置体系和设施设备配套建设，推进村庄清洁行动“常态化”。持续推进非正规生活垃圾堆放点整治工作。</w:t>
      </w:r>
    </w:p>
    <w:p>
      <w:pPr>
        <w:ind w:firstLine="640"/>
        <w:rPr>
          <w:szCs w:val="32"/>
          <w:highlight w:val="none"/>
        </w:rPr>
      </w:pPr>
      <w:r>
        <w:rPr>
          <w:rFonts w:eastAsia="方正楷体_GBK"/>
          <w:bCs/>
          <w:szCs w:val="32"/>
          <w:highlight w:val="none"/>
        </w:rPr>
        <w:t>加强农村生活污水处理。</w:t>
      </w:r>
      <w:r>
        <w:rPr>
          <w:szCs w:val="32"/>
          <w:highlight w:val="none"/>
        </w:rPr>
        <w:t>因地制宜推进乡镇污水处理站和村镇微型生活污水处理设施建设，逐步建立将农村污水纳入城乡统筹治理的管理体制和有效保障的经费筹集机制，提升强化农村污水收集处理能力和水平。分类梯次推进农村生活污水处理，人口规模较大的村庄优先建设集中式污水处理设施。推广应用适合农村特点的污水处理工艺，对居住相对分散、难以统一收集的村落，灵活采用多种方式分散处理。加大农村黑臭水体清理整治，加快推进农村河湖“清四乱”工作。</w:t>
      </w:r>
    </w:p>
    <w:p>
      <w:pPr>
        <w:pStyle w:val="5"/>
        <w:rPr>
          <w:rFonts w:ascii="Times New Roman"/>
          <w:highlight w:val="none"/>
        </w:rPr>
      </w:pPr>
      <w:bookmarkStart w:id="125" w:name="_Toc73979871"/>
      <w:bookmarkStart w:id="126" w:name="_Toc72746656"/>
      <w:r>
        <w:rPr>
          <w:rFonts w:ascii="Times New Roman"/>
          <w:highlight w:val="none"/>
        </w:rPr>
        <w:t>第四节  改善提升村容村貌</w:t>
      </w:r>
      <w:bookmarkEnd w:id="125"/>
      <w:bookmarkEnd w:id="126"/>
    </w:p>
    <w:p>
      <w:pPr>
        <w:ind w:firstLine="640"/>
        <w:rPr>
          <w:highlight w:val="none"/>
        </w:rPr>
      </w:pPr>
      <w:r>
        <w:rPr>
          <w:rFonts w:eastAsia="方正楷体_GBK"/>
          <w:bCs/>
          <w:szCs w:val="32"/>
          <w:highlight w:val="none"/>
        </w:rPr>
        <w:t>开展“亮化、绿化、美化”工程。</w:t>
      </w:r>
      <w:r>
        <w:rPr>
          <w:highlight w:val="none"/>
        </w:rPr>
        <w:t>开展道路亮化工程。将农村道路亮化工程列入市政府民生实事工程，分批推进乡村公共空间和道路照明亮化，推广使用节能灯具和新能源照明，强化设备设施后续运营维护管理。深入推进绿化达州行动，充分利用房前屋后、河塘沟渠、道路两侧闲置土地搞好绿化，建成一批森林乡村，做好园林绿化工程质量监督和园林植物养护管理，营造优美的乡村生态环境。开展村容美化工程。注意传统农村乡土景观特色保护与传统文化的延续，将特色乡村田园山水元素融入村容美化中，打造一批功能现代、成本经济、结构安全、绿色环保的示范性新村、特色田园乡村、美丽庭院，形成“一村一景”。</w:t>
      </w:r>
    </w:p>
    <w:p>
      <w:pPr>
        <w:ind w:firstLine="640"/>
        <w:rPr>
          <w:highlight w:val="none"/>
        </w:rPr>
      </w:pPr>
      <w:r>
        <w:rPr>
          <w:rFonts w:eastAsia="方正楷体_GBK"/>
          <w:bCs/>
          <w:szCs w:val="32"/>
          <w:highlight w:val="none"/>
        </w:rPr>
        <w:t>实施宜居巴蜀产村相融示范工程。</w:t>
      </w:r>
      <w:r>
        <w:rPr>
          <w:highlight w:val="none"/>
        </w:rPr>
        <w:t>推进“深化产村相融，建设美丽巴蜀宜居乡村示范带”建设。挖掘农村传统文化，</w:t>
      </w:r>
      <w:r>
        <w:rPr>
          <w:szCs w:val="32"/>
          <w:highlight w:val="none"/>
        </w:rPr>
        <w:t>突出乡土特色和地域特点，重点推广“小规模、组团式、微田园、生态化”美丽乡村建设模式，科学合理培育一批特色村庄，彰显农耕文化、孝廉文化等优秀乡村文化魅力，</w:t>
      </w:r>
      <w:r>
        <w:rPr>
          <w:highlight w:val="none"/>
        </w:rPr>
        <w:t>达到“乡乡有亮点、村村有特色”。加强乡村建筑风貌管控力度，推进存量农房微改造和新建农房风貌塑造。注重乡村绿化与庭院经济、经济林果相结合，因地制宜打造“四小园”（</w:t>
      </w:r>
      <w:r>
        <w:rPr>
          <w:szCs w:val="32"/>
          <w:highlight w:val="none"/>
        </w:rPr>
        <w:t>小菜园、小果园、小花园、小公园</w:t>
      </w:r>
      <w:r>
        <w:rPr>
          <w:highlight w:val="none"/>
        </w:rPr>
        <w:t>），创建一批乡村旅游重点村和休闲农庄。</w:t>
      </w:r>
    </w:p>
    <w:p>
      <w:pPr>
        <w:pStyle w:val="5"/>
        <w:rPr>
          <w:rFonts w:ascii="Times New Roman"/>
          <w:highlight w:val="none"/>
        </w:rPr>
      </w:pPr>
      <w:bookmarkStart w:id="127" w:name="_Toc73979872"/>
      <w:bookmarkStart w:id="128" w:name="_Toc72746657"/>
      <w:r>
        <w:rPr>
          <w:rFonts w:ascii="Times New Roman"/>
          <w:highlight w:val="none"/>
        </w:rPr>
        <w:t>第五节  推进生态环境综合治理</w:t>
      </w:r>
      <w:bookmarkEnd w:id="127"/>
      <w:bookmarkEnd w:id="128"/>
    </w:p>
    <w:p>
      <w:pPr>
        <w:ind w:firstLine="640"/>
        <w:rPr>
          <w:highlight w:val="none"/>
        </w:rPr>
      </w:pPr>
      <w:r>
        <w:rPr>
          <w:rFonts w:eastAsia="方正楷体_GBK"/>
          <w:bCs/>
          <w:szCs w:val="32"/>
          <w:highlight w:val="none"/>
        </w:rPr>
        <w:t>开展耕地环境分类管控。</w:t>
      </w:r>
      <w:r>
        <w:rPr>
          <w:highlight w:val="none"/>
        </w:rPr>
        <w:t>强化土壤环境调研和风险评估，全面摸清全市农用地土壤环境质量家底。持续推进土壤污染防治攻坚行动，强化空间布局管控和重点污染源监管，严格防控重金属污染，防范新增土壤污染。进一步完善安全控类耕地安全利用技术库和农作物种植推荐清单。大力推进涉镉等重金属污染耕地防治，强化重点区域分类防控，不断调整优化种植结构和产业布局，提升重金属污染防控水平。</w:t>
      </w:r>
    </w:p>
    <w:p>
      <w:pPr>
        <w:ind w:firstLine="640"/>
        <w:rPr>
          <w:highlight w:val="none"/>
        </w:rPr>
      </w:pPr>
      <w:r>
        <w:rPr>
          <w:rFonts w:eastAsia="方正楷体_GBK"/>
          <w:bCs/>
          <w:szCs w:val="32"/>
          <w:highlight w:val="none"/>
        </w:rPr>
        <w:t>加强农业面源污染防治。</w:t>
      </w:r>
      <w:r>
        <w:rPr>
          <w:highlight w:val="none"/>
        </w:rPr>
        <w:t>建立农业面源污染监测网络，及时掌握农业面源污染动态变化。鼓励开展生态循环农业和健康养殖新技术、新模式研究与开发，开展重大病虫害预警与控制、重大农业疫情应急防控和无害化治理、农资废弃包装物回收处置等，开展畜禽粪便有机肥、沼液有机肥等推广奖励，推进化肥农药减量增效。加强秸秆综合利用和禁烧工作宣传，</w:t>
      </w:r>
      <w:r>
        <w:rPr>
          <w:szCs w:val="32"/>
          <w:highlight w:val="none"/>
        </w:rPr>
        <w:t>支持开展秸秆收储运主体的培育和收储能力建设，</w:t>
      </w:r>
      <w:r>
        <w:rPr>
          <w:highlight w:val="none"/>
        </w:rPr>
        <w:t>强化畜禽粪污综合利用，积极创建流域尺度农业污染治理综合示范区。</w:t>
      </w:r>
    </w:p>
    <w:p>
      <w:pPr>
        <w:ind w:firstLine="640"/>
        <w:rPr>
          <w:highlight w:val="none"/>
        </w:rPr>
      </w:pPr>
      <w:r>
        <w:rPr>
          <w:rFonts w:eastAsia="方正楷体_GBK"/>
          <w:bCs/>
          <w:szCs w:val="32"/>
          <w:highlight w:val="none"/>
        </w:rPr>
        <w:t>抓好长江十年禁渔。</w:t>
      </w:r>
      <w:r>
        <w:rPr>
          <w:highlight w:val="none"/>
        </w:rPr>
        <w:t>贯彻长江十年禁渔计划，科学划定禁捕、限捕区域，做好重点水域渔政执法监督，严厉打击非法捕捞、买卖野生水生动物等违法行为。落实长江流域禁捕政策措施，建立禁捕补偿制度，引导渔民退捕转产。开展联合宣传活动，打好“组合拳”，营造“水上不捕、市场不卖、餐馆不做、群众不吃”良好氛围，争当长江“十年禁渔”工作的“宣传员”“监督员”，切实维护水生生态环境。</w:t>
      </w:r>
    </w:p>
    <w:p>
      <w:pPr>
        <w:ind w:firstLine="640"/>
        <w:rPr>
          <w:highlight w:val="none"/>
        </w:rPr>
      </w:pPr>
      <w:r>
        <w:rPr>
          <w:rFonts w:eastAsia="方正楷体_GBK"/>
          <w:bCs/>
          <w:szCs w:val="32"/>
          <w:highlight w:val="none"/>
        </w:rPr>
        <w:t>统筹山水林田湖草系统治理。</w:t>
      </w:r>
      <w:r>
        <w:rPr>
          <w:highlight w:val="none"/>
        </w:rPr>
        <w:t>深入开展天然林保护和退耕还林，全面推进“林长制”。统筹推进山、水、林、田、湖、草生态保护和修复工程，筑牢生态安全屏障。深化河（湖）长制，实施重要河流廊道生态修复和小流域水系统保护，实施沿河绿化和美化护坡工程。实施国家重点水土保持工程，推进水土流失综合治理，初步建立起以小流域为单元的水土流失综合防治体系。落实耕地休养生息制度和轮作休耕制度，保护和改良农田生态系统。</w:t>
      </w:r>
    </w:p>
    <w:p>
      <w:pPr>
        <w:ind w:firstLine="0" w:firstLineChars="0"/>
        <w:jc w:val="center"/>
        <w:rPr>
          <w:rFonts w:eastAsia="方正黑体_GBK"/>
          <w:bCs/>
          <w:szCs w:val="32"/>
          <w:highlight w:val="none"/>
        </w:rPr>
      </w:pPr>
      <w:r>
        <w:rPr>
          <w:rFonts w:eastAsia="方正黑体_GBK"/>
          <w:bCs/>
          <w:szCs w:val="32"/>
          <w:highlight w:val="none"/>
        </w:rPr>
        <w:t>专栏24  美丽达州</w:t>
      </w:r>
      <w:r>
        <w:rPr>
          <w:rFonts w:eastAsia="汉仪大黑简"/>
          <w:bCs/>
          <w:szCs w:val="32"/>
          <w:highlight w:val="none"/>
        </w:rPr>
        <w:t>·</w:t>
      </w:r>
      <w:r>
        <w:rPr>
          <w:rFonts w:eastAsia="方正黑体_GBK"/>
          <w:bCs/>
          <w:szCs w:val="32"/>
          <w:highlight w:val="none"/>
        </w:rPr>
        <w:t>宜居乡村重点项目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sz w:val="28"/>
                <w:szCs w:val="28"/>
                <w:highlight w:val="none"/>
              </w:rPr>
              <w:t>农村道路畅通工程</w:t>
            </w:r>
            <w:r>
              <w:rPr>
                <w:rFonts w:eastAsia="宋体"/>
                <w:bCs/>
                <w:snapToGrid w:val="0"/>
                <w:kern w:val="0"/>
                <w:sz w:val="28"/>
                <w:szCs w:val="28"/>
                <w:highlight w:val="none"/>
              </w:rPr>
              <w:t>：</w:t>
            </w:r>
            <w:r>
              <w:rPr>
                <w:rFonts w:eastAsia="方正楷体_GBK"/>
                <w:sz w:val="28"/>
                <w:szCs w:val="28"/>
                <w:highlight w:val="none"/>
              </w:rPr>
              <w:t>完成</w:t>
            </w:r>
            <w:r>
              <w:rPr>
                <w:rFonts w:eastAsia="方正楷体_GBK"/>
                <w:kern w:val="0"/>
                <w:sz w:val="28"/>
                <w:szCs w:val="28"/>
                <w:highlight w:val="none"/>
              </w:rPr>
              <w:t>**</w:t>
            </w:r>
            <w:r>
              <w:rPr>
                <w:rFonts w:eastAsia="方正楷体_GBK"/>
                <w:sz w:val="28"/>
                <w:szCs w:val="28"/>
                <w:highlight w:val="none"/>
              </w:rPr>
              <w:t>公里县乡道改造和</w:t>
            </w:r>
            <w:r>
              <w:rPr>
                <w:rFonts w:eastAsia="方正楷体_GBK"/>
                <w:kern w:val="0"/>
                <w:sz w:val="28"/>
                <w:szCs w:val="28"/>
                <w:highlight w:val="none"/>
              </w:rPr>
              <w:t>**</w:t>
            </w:r>
            <w:r>
              <w:rPr>
                <w:rFonts w:eastAsia="方正楷体_GBK"/>
                <w:sz w:val="28"/>
                <w:szCs w:val="28"/>
                <w:highlight w:val="none"/>
              </w:rPr>
              <w:t>公里村道公路建设，所有村道全部按不低于四级公路技术标准建设，力争全市所有乡镇（行政区划调整前）有不低于三级公路技术标准的道路对外联系，每个行政村有不低于1条村道对外联系，有条件的行政村有不低于</w:t>
            </w:r>
            <w:r>
              <w:rPr>
                <w:rFonts w:eastAsia="方正楷体_GBK"/>
                <w:kern w:val="0"/>
                <w:sz w:val="28"/>
                <w:szCs w:val="28"/>
                <w:highlight w:val="none"/>
              </w:rPr>
              <w:t>**</w:t>
            </w:r>
            <w:r>
              <w:rPr>
                <w:rFonts w:eastAsia="方正楷体_GBK"/>
                <w:sz w:val="28"/>
                <w:szCs w:val="28"/>
                <w:highlight w:val="none"/>
              </w:rPr>
              <w:t>条农村公路对外联系。</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sz w:val="28"/>
                <w:szCs w:val="28"/>
                <w:highlight w:val="none"/>
              </w:rPr>
              <w:t>农村供水保障工程：</w:t>
            </w:r>
            <w:r>
              <w:rPr>
                <w:rFonts w:eastAsia="方正楷体_GBK"/>
                <w:sz w:val="28"/>
                <w:szCs w:val="28"/>
                <w:highlight w:val="none"/>
              </w:rPr>
              <w:t>大力推进城乡一体化规模化农村供水工程建设，新建、改造各类集中供水工程</w:t>
            </w:r>
            <w:r>
              <w:rPr>
                <w:rFonts w:eastAsia="方正楷体_GBK"/>
                <w:kern w:val="0"/>
                <w:sz w:val="28"/>
                <w:szCs w:val="28"/>
                <w:highlight w:val="none"/>
              </w:rPr>
              <w:t>**</w:t>
            </w:r>
            <w:r>
              <w:rPr>
                <w:rFonts w:eastAsia="方正楷体_GBK"/>
                <w:sz w:val="28"/>
                <w:szCs w:val="28"/>
                <w:highlight w:val="none"/>
              </w:rPr>
              <w:t>处。</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sz w:val="28"/>
                <w:szCs w:val="28"/>
                <w:highlight w:val="none"/>
              </w:rPr>
              <w:t>农村能源建设工程：</w:t>
            </w:r>
            <w:r>
              <w:rPr>
                <w:rFonts w:eastAsia="方正楷体_GBK"/>
                <w:sz w:val="28"/>
                <w:szCs w:val="28"/>
                <w:highlight w:val="none"/>
              </w:rPr>
              <w:t>推进“沼改厕”技术推广县建设，开展沼气等能源项目后续管护试点和太阳能、浅层地热能、生物质能等可再生能源试点建设。</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sz w:val="28"/>
                <w:szCs w:val="28"/>
                <w:highlight w:val="none"/>
              </w:rPr>
              <w:t>农村综合服务设施提升工程：</w:t>
            </w:r>
            <w:r>
              <w:rPr>
                <w:rFonts w:eastAsia="方正楷体_GBK"/>
                <w:sz w:val="28"/>
                <w:szCs w:val="28"/>
                <w:highlight w:val="none"/>
              </w:rPr>
              <w:t>实施“一镇（村）一屏”智慧广电助农工程，打造“政务+商务+服务”综合化平台，到2025年，行政村公共服务中心覆盖率达到</w:t>
            </w:r>
            <w:r>
              <w:rPr>
                <w:rFonts w:eastAsia="方正楷体_GBK"/>
                <w:kern w:val="0"/>
                <w:sz w:val="28"/>
                <w:szCs w:val="28"/>
                <w:highlight w:val="none"/>
              </w:rPr>
              <w:t>**</w:t>
            </w:r>
            <w:r>
              <w:rPr>
                <w:rFonts w:eastAsia="方正楷体_GBK"/>
                <w:sz w:val="28"/>
                <w:szCs w:val="28"/>
                <w:highlight w:val="none"/>
              </w:rPr>
              <w:t>%。</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bCs/>
                <w:snapToGrid w:val="0"/>
                <w:kern w:val="0"/>
                <w:sz w:val="28"/>
                <w:szCs w:val="28"/>
                <w:highlight w:val="none"/>
              </w:rPr>
              <w:t>农村厕所革命：</w:t>
            </w:r>
            <w:r>
              <w:rPr>
                <w:rFonts w:hint="eastAsia" w:eastAsia="方正楷体_GBK"/>
                <w:sz w:val="28"/>
                <w:szCs w:val="28"/>
                <w:highlight w:val="none"/>
              </w:rPr>
              <w:t>引导农村新建住房配套建设无害化卫生厕所，合理规划建设农村公共厕所和旅游厕所。加快推进户用卫生厕所建设和改造，同步实施厕所粪污治理。</w:t>
            </w:r>
            <w:r>
              <w:rPr>
                <w:rFonts w:eastAsia="方正楷体_GBK"/>
                <w:sz w:val="28"/>
                <w:szCs w:val="28"/>
                <w:highlight w:val="none"/>
              </w:rPr>
              <w:t>到2025年，农村卫生厕所普及率达</w:t>
            </w:r>
            <w:r>
              <w:rPr>
                <w:rFonts w:eastAsia="方正楷体_GBK"/>
                <w:kern w:val="0"/>
                <w:sz w:val="28"/>
                <w:szCs w:val="28"/>
                <w:highlight w:val="none"/>
              </w:rPr>
              <w:t>**</w:t>
            </w:r>
            <w:r>
              <w:rPr>
                <w:rFonts w:eastAsia="方正楷体_GBK"/>
                <w:sz w:val="28"/>
                <w:szCs w:val="28"/>
                <w:highlight w:val="none"/>
              </w:rPr>
              <w:t>%以上。</w:t>
            </w:r>
          </w:p>
          <w:p>
            <w:pPr>
              <w:pStyle w:val="2"/>
              <w:ind w:firstLine="560"/>
              <w:rPr>
                <w:bCs w:val="0"/>
                <w:color w:val="auto"/>
                <w:highlight w:val="none"/>
              </w:rPr>
            </w:pPr>
            <w:r>
              <w:rPr>
                <w:rFonts w:asciiTheme="majorEastAsia" w:hAnsiTheme="majorEastAsia" w:eastAsiaTheme="majorEastAsia"/>
                <w:bCs w:val="0"/>
                <w:snapToGrid w:val="0"/>
                <w:color w:val="auto"/>
                <w:sz w:val="28"/>
                <w:szCs w:val="28"/>
                <w:highlight w:val="none"/>
              </w:rPr>
              <w:t>◆</w:t>
            </w:r>
            <w:r>
              <w:rPr>
                <w:rFonts w:hint="eastAsia" w:eastAsia="方正黑体_GBK"/>
                <w:bCs w:val="0"/>
                <w:snapToGrid w:val="0"/>
                <w:color w:val="auto"/>
                <w:sz w:val="28"/>
                <w:szCs w:val="28"/>
                <w:highlight w:val="none"/>
              </w:rPr>
              <w:t>农村生活垃圾治理：</w:t>
            </w:r>
            <w:r>
              <w:rPr>
                <w:rFonts w:hint="eastAsia" w:ascii="Times New Roman" w:hAnsi="Times New Roman" w:eastAsia="方正楷体_GBK" w:cs="Times New Roman"/>
                <w:color w:val="auto"/>
                <w:sz w:val="28"/>
                <w:szCs w:val="28"/>
                <w:highlight w:val="none"/>
              </w:rPr>
              <w:t>积极开展农村生活垃圾分类与资源化利用示范县创建，到</w:t>
            </w:r>
            <w:r>
              <w:rPr>
                <w:rFonts w:ascii="Times New Roman" w:hAnsi="Times New Roman" w:eastAsia="方正楷体_GBK" w:cs="Times New Roman"/>
                <w:color w:val="auto"/>
                <w:sz w:val="28"/>
                <w:szCs w:val="28"/>
                <w:highlight w:val="none"/>
              </w:rPr>
              <w:t>2025</w:t>
            </w:r>
            <w:r>
              <w:rPr>
                <w:rFonts w:hint="eastAsia" w:ascii="Times New Roman" w:hAnsi="Times New Roman" w:eastAsia="方正楷体_GBK" w:cs="Times New Roman"/>
                <w:color w:val="auto"/>
                <w:sz w:val="28"/>
                <w:szCs w:val="28"/>
                <w:highlight w:val="none"/>
              </w:rPr>
              <w:t>年，全市所有行政村生活垃圾得到有效治理，村组保洁员配备达到全覆盖；每个行政村至少配备垃圾固定收集点</w:t>
            </w:r>
            <w:r>
              <w:rPr>
                <w:rFonts w:ascii="Times New Roman" w:hAnsi="Times New Roman" w:eastAsia="方正楷体_GBK" w:cs="Times New Roman"/>
                <w:color w:val="auto"/>
                <w:sz w:val="28"/>
                <w:szCs w:val="28"/>
                <w:highlight w:val="none"/>
              </w:rPr>
              <w:t>2</w:t>
            </w:r>
            <w:r>
              <w:rPr>
                <w:rFonts w:hint="eastAsia" w:ascii="Times New Roman" w:hAnsi="Times New Roman" w:eastAsia="方正楷体_GBK" w:cs="Times New Roman"/>
                <w:color w:val="auto"/>
                <w:sz w:val="28"/>
                <w:szCs w:val="28"/>
                <w:highlight w:val="none"/>
              </w:rPr>
              <w:t>个；每个乡镇至少配备中转站</w:t>
            </w:r>
            <w:r>
              <w:rPr>
                <w:rFonts w:ascii="Times New Roman" w:hAnsi="Times New Roman" w:eastAsia="方正楷体_GBK" w:cs="Times New Roman"/>
                <w:color w:val="auto"/>
                <w:sz w:val="28"/>
                <w:szCs w:val="28"/>
                <w:highlight w:val="none"/>
              </w:rPr>
              <w:t>2</w:t>
            </w:r>
            <w:r>
              <w:rPr>
                <w:rFonts w:hint="eastAsia" w:ascii="Times New Roman" w:hAnsi="Times New Roman" w:eastAsia="方正楷体_GBK" w:cs="Times New Roman"/>
                <w:color w:val="auto"/>
                <w:sz w:val="28"/>
                <w:szCs w:val="28"/>
                <w:highlight w:val="none"/>
              </w:rPr>
              <w:t>个，垃圾车</w:t>
            </w:r>
            <w:r>
              <w:rPr>
                <w:rFonts w:ascii="Times New Roman" w:hAnsi="Times New Roman" w:eastAsia="方正楷体_GBK" w:cs="Times New Roman"/>
                <w:color w:val="auto"/>
                <w:sz w:val="28"/>
                <w:szCs w:val="28"/>
                <w:highlight w:val="none"/>
              </w:rPr>
              <w:t>5</w:t>
            </w:r>
            <w:r>
              <w:rPr>
                <w:rFonts w:hint="eastAsia" w:ascii="Times New Roman" w:hAnsi="Times New Roman" w:eastAsia="方正楷体_GBK" w:cs="Times New Roman"/>
                <w:color w:val="auto"/>
                <w:sz w:val="28"/>
                <w:szCs w:val="28"/>
                <w:highlight w:val="none"/>
              </w:rPr>
              <w:t>辆，粪污清运车</w:t>
            </w:r>
            <w:r>
              <w:rPr>
                <w:rFonts w:ascii="Times New Roman" w:hAnsi="Times New Roman" w:eastAsia="方正楷体_GBK" w:cs="Times New Roman"/>
                <w:color w:val="auto"/>
                <w:sz w:val="28"/>
                <w:szCs w:val="28"/>
                <w:highlight w:val="none"/>
              </w:rPr>
              <w:t>5</w:t>
            </w:r>
            <w:r>
              <w:rPr>
                <w:rFonts w:hint="eastAsia" w:ascii="Times New Roman" w:hAnsi="Times New Roman" w:eastAsia="方正楷体_GBK" w:cs="Times New Roman"/>
                <w:color w:val="auto"/>
                <w:sz w:val="28"/>
                <w:szCs w:val="28"/>
                <w:highlight w:val="none"/>
              </w:rPr>
              <w:t>辆。</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hint="eastAsia" w:eastAsia="方正黑体_GBK"/>
                <w:sz w:val="28"/>
                <w:szCs w:val="28"/>
                <w:highlight w:val="none"/>
              </w:rPr>
              <w:t>农村生活污水治理</w:t>
            </w:r>
            <w:r>
              <w:rPr>
                <w:rFonts w:eastAsia="方正黑体_GBK"/>
                <w:bCs/>
                <w:snapToGrid w:val="0"/>
                <w:kern w:val="0"/>
                <w:sz w:val="28"/>
                <w:szCs w:val="28"/>
                <w:highlight w:val="none"/>
              </w:rPr>
              <w:t>：</w:t>
            </w:r>
            <w:r>
              <w:rPr>
                <w:rFonts w:eastAsia="方正楷体_GBK"/>
                <w:sz w:val="28"/>
                <w:szCs w:val="28"/>
                <w:highlight w:val="none"/>
              </w:rPr>
              <w:t>持续开展农村生活污水“千村示范工程”建设，</w:t>
            </w:r>
            <w:r>
              <w:rPr>
                <w:rFonts w:hint="eastAsia" w:eastAsia="方正楷体_GBK"/>
                <w:sz w:val="28"/>
                <w:szCs w:val="28"/>
                <w:highlight w:val="none"/>
              </w:rPr>
              <w:t>开展农村黑臭水体治理试点。积极推广先进处理技术和生态处理模式，加快推进农村生活污水资源化利用。</w:t>
            </w:r>
            <w:r>
              <w:rPr>
                <w:rFonts w:eastAsia="方正楷体_GBK"/>
                <w:sz w:val="28"/>
                <w:szCs w:val="28"/>
                <w:highlight w:val="none"/>
              </w:rPr>
              <w:t>到2025年，全市建制镇污水处理率</w:t>
            </w:r>
            <w:r>
              <w:rPr>
                <w:rFonts w:eastAsia="方正楷体_GBK"/>
                <w:kern w:val="0"/>
                <w:sz w:val="28"/>
                <w:szCs w:val="28"/>
                <w:highlight w:val="none"/>
              </w:rPr>
              <w:t>**</w:t>
            </w:r>
            <w:r>
              <w:rPr>
                <w:rFonts w:eastAsia="方正楷体_GBK"/>
                <w:sz w:val="28"/>
                <w:szCs w:val="28"/>
                <w:highlight w:val="none"/>
              </w:rPr>
              <w:t>%以上、</w:t>
            </w:r>
            <w:r>
              <w:rPr>
                <w:rFonts w:eastAsia="方正楷体_GBK"/>
                <w:kern w:val="0"/>
                <w:sz w:val="28"/>
                <w:szCs w:val="28"/>
                <w:highlight w:val="none"/>
              </w:rPr>
              <w:t>**</w:t>
            </w:r>
            <w:r>
              <w:rPr>
                <w:rFonts w:eastAsia="方正楷体_GBK"/>
                <w:sz w:val="28"/>
                <w:szCs w:val="28"/>
                <w:highlight w:val="none"/>
              </w:rPr>
              <w:t>%以上的行政村生活污水得到有效治理。</w:t>
            </w:r>
          </w:p>
          <w:p>
            <w:pPr>
              <w:spacing w:line="500" w:lineRule="exact"/>
              <w:ind w:firstLine="560"/>
              <w:rPr>
                <w:rFonts w:eastAsia="方正楷体_GBK"/>
                <w:sz w:val="28"/>
                <w:szCs w:val="28"/>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产村融合发展：</w:t>
            </w:r>
            <w:r>
              <w:rPr>
                <w:rFonts w:hint="eastAsia" w:eastAsia="方正楷体_GBK"/>
                <w:sz w:val="28"/>
                <w:szCs w:val="28"/>
                <w:highlight w:val="none"/>
              </w:rPr>
              <w:t>以乡村特色资源为依托，支持、促进农村一二三产业融合发展，打造一批乡村旅游重点村。</w:t>
            </w:r>
            <w:r>
              <w:rPr>
                <w:rFonts w:eastAsia="方正楷体_GBK"/>
                <w:sz w:val="28"/>
                <w:szCs w:val="28"/>
                <w:highlight w:val="none"/>
              </w:rPr>
              <w:t>到2025年，建设省级以上乡村旅游重点村</w:t>
            </w:r>
            <w:r>
              <w:rPr>
                <w:rFonts w:eastAsia="方正楷体_GBK"/>
                <w:kern w:val="0"/>
                <w:sz w:val="28"/>
                <w:szCs w:val="28"/>
                <w:highlight w:val="none"/>
              </w:rPr>
              <w:t>**</w:t>
            </w:r>
            <w:r>
              <w:rPr>
                <w:rFonts w:eastAsia="方正楷体_GBK"/>
                <w:sz w:val="28"/>
                <w:szCs w:val="28"/>
                <w:highlight w:val="none"/>
              </w:rPr>
              <w:t>个。</w:t>
            </w:r>
          </w:p>
          <w:p>
            <w:pPr>
              <w:spacing w:line="500" w:lineRule="exact"/>
              <w:ind w:firstLine="560"/>
              <w:rPr>
                <w:rFonts w:eastAsia="方正楷体_GBK"/>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生态环境综合治理：</w:t>
            </w:r>
            <w:r>
              <w:rPr>
                <w:rFonts w:eastAsia="方正楷体_GBK"/>
                <w:sz w:val="28"/>
                <w:szCs w:val="28"/>
                <w:highlight w:val="none"/>
              </w:rPr>
              <w:t>积极推进耕地土壤污染防治重点县、受重金属污染耕地的综合治理试点示范、农产品产地土壤重金属污染治理与农产品安全生产示范区创建。</w:t>
            </w:r>
          </w:p>
        </w:tc>
      </w:tr>
    </w:tbl>
    <w:p>
      <w:pPr>
        <w:ind w:firstLine="0" w:firstLineChars="0"/>
        <w:jc w:val="center"/>
        <w:outlineLvl w:val="1"/>
        <w:rPr>
          <w:rFonts w:eastAsia="方正黑体_GBK"/>
          <w:bCs/>
          <w:szCs w:val="32"/>
          <w:highlight w:val="none"/>
        </w:rPr>
      </w:pPr>
      <w:bookmarkStart w:id="129" w:name="_Toc72746658"/>
      <w:bookmarkStart w:id="130" w:name="_Toc73979873"/>
      <w:r>
        <w:rPr>
          <w:rFonts w:eastAsia="方正黑体_GBK"/>
          <w:bCs/>
          <w:szCs w:val="32"/>
          <w:highlight w:val="none"/>
        </w:rPr>
        <w:t>第二章  以乡风文明为目标，繁荣兴盛农村文化</w:t>
      </w:r>
      <w:bookmarkEnd w:id="129"/>
      <w:bookmarkEnd w:id="130"/>
    </w:p>
    <w:p>
      <w:pPr>
        <w:pStyle w:val="5"/>
        <w:rPr>
          <w:rFonts w:ascii="Times New Roman"/>
          <w:highlight w:val="none"/>
        </w:rPr>
      </w:pPr>
      <w:bookmarkStart w:id="131" w:name="_Toc72746659"/>
      <w:bookmarkStart w:id="132" w:name="_Toc73979874"/>
      <w:r>
        <w:rPr>
          <w:rFonts w:ascii="Times New Roman"/>
          <w:highlight w:val="none"/>
        </w:rPr>
        <w:t>第一节  加强思想道德建设</w:t>
      </w:r>
      <w:bookmarkEnd w:id="131"/>
      <w:bookmarkEnd w:id="132"/>
    </w:p>
    <w:p>
      <w:pPr>
        <w:ind w:firstLine="640"/>
        <w:rPr>
          <w:highlight w:val="none"/>
        </w:rPr>
      </w:pPr>
      <w:r>
        <w:rPr>
          <w:highlight w:val="none"/>
        </w:rPr>
        <w:t>积极践行社会主义核心价值观，深入开展习近平新时代中国特色社会主义思想学习教育。在乡村深入开展“听党话、感党恩、跟党走”宣讲活动。广泛开展“传家训、立家规、扬家风”等活动，大力宣传农村道德榜样与典型，倡导邻里和睦文化，积极推进农村社会公德、家庭美德和个人品德建设，鼓励见义勇为，弘扬真善美，传递正能量，开展“身边好人”、道德模范等先进典型评选宣传活动，强化农民的社会责任意识、规则意识、集体意识、主人翁意识。</w:t>
      </w:r>
    </w:p>
    <w:p>
      <w:pPr>
        <w:pStyle w:val="5"/>
        <w:rPr>
          <w:rFonts w:ascii="Times New Roman"/>
          <w:highlight w:val="none"/>
        </w:rPr>
      </w:pPr>
      <w:bookmarkStart w:id="133" w:name="_Toc73979875"/>
      <w:bookmarkStart w:id="134" w:name="_Toc72746660"/>
      <w:r>
        <w:rPr>
          <w:rFonts w:ascii="Times New Roman"/>
          <w:highlight w:val="none"/>
        </w:rPr>
        <w:t>第二节  开展移风易俗行动</w:t>
      </w:r>
      <w:bookmarkEnd w:id="133"/>
      <w:bookmarkEnd w:id="134"/>
    </w:p>
    <w:p>
      <w:pPr>
        <w:ind w:firstLine="640"/>
        <w:rPr>
          <w:szCs w:val="32"/>
          <w:highlight w:val="none"/>
        </w:rPr>
      </w:pPr>
      <w:r>
        <w:rPr>
          <w:szCs w:val="32"/>
          <w:highlight w:val="none"/>
        </w:rPr>
        <w:t>持续推进移风易俗，把移风易俗、乡风文明建设与群众文化活动紧密结合起来，大力传播乡风文明，真正把乡村建设成为农民群众的精神家园、人文家园、和谐家园。重点整治大操大办、厚葬薄养、高额彩礼、铺张浪费、人情攀比等陈规陋习，加强无神论宣传教育，抵制封建迷信活动，推动红白理事会工作制度化、规范化。</w:t>
      </w:r>
    </w:p>
    <w:p>
      <w:pPr>
        <w:pStyle w:val="5"/>
        <w:rPr>
          <w:rFonts w:ascii="Times New Roman"/>
          <w:highlight w:val="none"/>
        </w:rPr>
      </w:pPr>
      <w:bookmarkStart w:id="135" w:name="_Toc73979876"/>
      <w:bookmarkStart w:id="136" w:name="_Toc72746661"/>
      <w:r>
        <w:rPr>
          <w:rFonts w:ascii="Times New Roman"/>
          <w:highlight w:val="none"/>
        </w:rPr>
        <w:t>第三节  传承优秀传统文化</w:t>
      </w:r>
      <w:bookmarkEnd w:id="135"/>
      <w:bookmarkEnd w:id="136"/>
    </w:p>
    <w:p>
      <w:pPr>
        <w:ind w:firstLine="640"/>
        <w:rPr>
          <w:szCs w:val="32"/>
          <w:highlight w:val="none"/>
        </w:rPr>
      </w:pPr>
      <w:r>
        <w:rPr>
          <w:szCs w:val="32"/>
          <w:highlight w:val="none"/>
        </w:rPr>
        <w:t>深入挖掘、集成创新优秀传统乡土文化，开展农村生产生活遗产保护，传承优秀农耕文明、孝廉文化等优秀乡村文化。划定乡村建设的历史文化保护线，推进城坝遗址、罗家坝遗址、荔枝古道、汉阙群、大庙寨革命遗址纪念园等为代表的文物古迹的保护、管理、研究、展示与宣传，加强马渡民歌、太平腰鼓、宣汉锣鼓、竹唢呐、安仁板凳龙、石桥火龙、开江拗棒、三汇彩亭会、渠县耍锣等优秀戏曲曲艺、少数民族文化、民间文化的传承发展。</w:t>
      </w:r>
    </w:p>
    <w:p>
      <w:pPr>
        <w:pStyle w:val="5"/>
        <w:rPr>
          <w:rFonts w:ascii="Times New Roman"/>
          <w:highlight w:val="none"/>
        </w:rPr>
      </w:pPr>
      <w:bookmarkStart w:id="137" w:name="_Toc72746662"/>
      <w:bookmarkStart w:id="138" w:name="_Toc73979877"/>
      <w:r>
        <w:rPr>
          <w:rFonts w:ascii="Times New Roman"/>
          <w:highlight w:val="none"/>
        </w:rPr>
        <w:t>第四节  推进家庭文明建设</w:t>
      </w:r>
      <w:bookmarkEnd w:id="137"/>
      <w:bookmarkEnd w:id="138"/>
    </w:p>
    <w:p>
      <w:pPr>
        <w:ind w:firstLine="640"/>
        <w:rPr>
          <w:szCs w:val="32"/>
          <w:highlight w:val="none"/>
        </w:rPr>
      </w:pPr>
      <w:r>
        <w:rPr>
          <w:szCs w:val="32"/>
          <w:highlight w:val="none"/>
        </w:rPr>
        <w:t>开展“书香达州 全民阅读”活动，持续办好“农民读书月”，建好“农家书屋”，办实“农民夜校”。加强乡村治理诚信体系建设，探索建立个人或家庭社会诚信“红黑榜”。以培育和践行社会主义核心价值观为引领，弘扬中华民族传统家庭美德，倡导现代家庭文明观念，采取多种形式弘扬传承好家风、好家训，努力建设新时代家风文化。</w:t>
      </w:r>
    </w:p>
    <w:p>
      <w:pPr>
        <w:ind w:firstLine="0" w:firstLineChars="0"/>
        <w:jc w:val="center"/>
        <w:rPr>
          <w:rFonts w:eastAsia="方正黑体_GBK"/>
          <w:bCs/>
          <w:szCs w:val="32"/>
          <w:highlight w:val="none"/>
        </w:rPr>
      </w:pPr>
      <w:r>
        <w:rPr>
          <w:rFonts w:eastAsia="方正黑体_GBK"/>
          <w:bCs/>
          <w:szCs w:val="32"/>
          <w:highlight w:val="none"/>
        </w:rPr>
        <w:t>专栏25  乡风文明建设重点项目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宋体"/>
                <w:bCs/>
                <w:snapToGrid w:val="0"/>
                <w:kern w:val="0"/>
                <w:sz w:val="28"/>
                <w:szCs w:val="28"/>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思想道德建设。</w:t>
            </w:r>
            <w:r>
              <w:rPr>
                <w:rFonts w:eastAsia="方正楷体_GBK"/>
                <w:sz w:val="28"/>
                <w:szCs w:val="28"/>
                <w:highlight w:val="none"/>
              </w:rPr>
              <w:t>推进新时代文明实践中心建设，构建“实践中心—实践所—实践站”县乡村三级组织体系，开展新时代文明实践活动。</w:t>
            </w:r>
          </w:p>
          <w:p>
            <w:pPr>
              <w:spacing w:line="500" w:lineRule="exact"/>
              <w:ind w:firstLine="560"/>
              <w:jc w:val="left"/>
              <w:rPr>
                <w:rFonts w:eastAsia="宋体"/>
                <w:bCs/>
                <w:snapToGrid w:val="0"/>
                <w:kern w:val="0"/>
                <w:sz w:val="28"/>
                <w:szCs w:val="28"/>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开展移风易俗行动。</w:t>
            </w:r>
            <w:r>
              <w:rPr>
                <w:rFonts w:eastAsia="方正楷体_GBK"/>
                <w:sz w:val="28"/>
                <w:szCs w:val="28"/>
                <w:highlight w:val="none"/>
              </w:rPr>
              <w:t>广泛开展文明村镇、星级文明户、文明家庭等群众性精神文明创建活动。</w:t>
            </w:r>
          </w:p>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传承优秀传统文化。</w:t>
            </w:r>
            <w:r>
              <w:rPr>
                <w:rFonts w:eastAsia="方正楷体_GBK"/>
                <w:sz w:val="28"/>
                <w:szCs w:val="28"/>
                <w:highlight w:val="none"/>
              </w:rPr>
              <w:t>实施乡村文化振兴“百千万”工程，开展乡村文化振兴样板村镇创建。</w:t>
            </w:r>
          </w:p>
          <w:p>
            <w:pPr>
              <w:spacing w:line="500" w:lineRule="exact"/>
              <w:ind w:firstLine="560"/>
              <w:jc w:val="left"/>
              <w:rPr>
                <w:szCs w:val="32"/>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家庭文明建设。</w:t>
            </w:r>
            <w:r>
              <w:rPr>
                <w:rFonts w:eastAsia="方正楷体_GBK"/>
                <w:sz w:val="28"/>
                <w:szCs w:val="28"/>
                <w:highlight w:val="none"/>
              </w:rPr>
              <w:t>以主题创建活动为载体，广泛开展最美家庭、五好家庭、绿色家庭、书香家庭、平安家庭、星级家庭、好家长之星等特色评选活动。搭建阵地，建设家风家训馆、亲子阅读体验基地，打造家风孝道主题公园、广场。</w:t>
            </w:r>
          </w:p>
        </w:tc>
      </w:tr>
    </w:tbl>
    <w:p>
      <w:pPr>
        <w:ind w:firstLine="0" w:firstLineChars="0"/>
        <w:jc w:val="center"/>
        <w:outlineLvl w:val="1"/>
        <w:rPr>
          <w:rFonts w:eastAsia="方正黑体_GBK"/>
          <w:bCs/>
          <w:szCs w:val="32"/>
          <w:highlight w:val="none"/>
        </w:rPr>
      </w:pPr>
      <w:bookmarkStart w:id="139" w:name="_Toc72746663"/>
      <w:bookmarkStart w:id="140" w:name="_Toc73979878"/>
      <w:r>
        <w:rPr>
          <w:rFonts w:eastAsia="方正黑体_GBK"/>
          <w:bCs/>
          <w:szCs w:val="32"/>
          <w:highlight w:val="none"/>
        </w:rPr>
        <w:t>第三章  以乡村治理为保障，提升乡村治理现代化</w:t>
      </w:r>
      <w:bookmarkEnd w:id="139"/>
      <w:r>
        <w:rPr>
          <w:rFonts w:eastAsia="方正黑体_GBK"/>
          <w:bCs/>
          <w:szCs w:val="32"/>
          <w:highlight w:val="none"/>
        </w:rPr>
        <w:t>水平</w:t>
      </w:r>
      <w:bookmarkEnd w:id="140"/>
    </w:p>
    <w:p>
      <w:pPr>
        <w:pStyle w:val="5"/>
        <w:rPr>
          <w:rFonts w:ascii="Times New Roman"/>
          <w:highlight w:val="none"/>
        </w:rPr>
      </w:pPr>
      <w:bookmarkStart w:id="141" w:name="_Toc72746664"/>
      <w:bookmarkStart w:id="142" w:name="_Toc73979879"/>
      <w:r>
        <w:rPr>
          <w:rFonts w:ascii="Times New Roman"/>
          <w:highlight w:val="none"/>
        </w:rPr>
        <w:t>第一节  加强基层党组织建设</w:t>
      </w:r>
      <w:bookmarkEnd w:id="141"/>
      <w:bookmarkEnd w:id="142"/>
    </w:p>
    <w:p>
      <w:pPr>
        <w:ind w:firstLine="640"/>
        <w:rPr>
          <w:szCs w:val="32"/>
          <w:highlight w:val="none"/>
        </w:rPr>
      </w:pPr>
      <w:r>
        <w:rPr>
          <w:szCs w:val="32"/>
          <w:highlight w:val="none"/>
        </w:rPr>
        <w:t>加强农村基层党组织建设，全面加强党在新时期乡村治理中的核心作用，完善村党组织领导的村级治理机制，建立以基层党组织为领导、村民自治组织和村务监督组织为基础、集体经济组织为纽带的村级组织体系。探索实行村党组织书记专职化管理。完善鼓励乡镇机关和事业单位干部任村党组织第一书记的政策措施。选优配强领导班子、村“两委”成员，规范和完善村委会选举制度，推动符合条件的中心村、重点村、特色村党组织书记进入乡镇党委班子。落实村党组织书记集中轮训制度。推行村党组织书记通过法定程序担任村级集体经济组织负责人，加强党对农村自治组织和各类社会组织的领导。增强党组织的影响力凝聚力，“一村一策”整顿软弱涣散基层党组织，使每一个农村党支部都成为坚强战斗堡垒。落实村级重大事项决策“四议两公开一监督”。严肃查处和惩处侵犯农民利益的“微腐败”。</w:t>
      </w:r>
    </w:p>
    <w:p>
      <w:pPr>
        <w:pStyle w:val="5"/>
        <w:rPr>
          <w:rFonts w:ascii="Times New Roman"/>
          <w:highlight w:val="none"/>
        </w:rPr>
      </w:pPr>
      <w:bookmarkStart w:id="143" w:name="_Toc73979880"/>
      <w:r>
        <w:rPr>
          <w:rFonts w:ascii="Times New Roman"/>
          <w:highlight w:val="none"/>
        </w:rPr>
        <w:t>第二节  提升群众自治能力</w:t>
      </w:r>
      <w:bookmarkEnd w:id="143"/>
    </w:p>
    <w:p>
      <w:pPr>
        <w:ind w:firstLine="640"/>
        <w:rPr>
          <w:szCs w:val="32"/>
          <w:highlight w:val="none"/>
        </w:rPr>
      </w:pPr>
      <w:r>
        <w:rPr>
          <w:szCs w:val="32"/>
          <w:highlight w:val="none"/>
        </w:rPr>
        <w:t>加强基层群众性自治组织法制化、规范化建设。鼓励开展村民说事、民情恳谈、百姓议事等各类协商，探索基层民主多种实现形式。全面建立县级党委和政府领导责任、乡镇党委和政府主体责任、村党组织直接责任的村规民约建设工作机制。坚持问题导向，遵循群众意愿，制定修订合法合规、务实管用、职责分明、通俗易懂的村规民约，利用村规民约规范行为、维护公共秩序、保障农民权益、调解矛盾纠纷。充分发挥自治章程、村规民约、红白理事会及新乡贤在基层治理中的积极作用。</w:t>
      </w:r>
    </w:p>
    <w:p>
      <w:pPr>
        <w:pStyle w:val="5"/>
        <w:rPr>
          <w:rFonts w:ascii="Times New Roman"/>
          <w:highlight w:val="none"/>
        </w:rPr>
      </w:pPr>
      <w:bookmarkStart w:id="144" w:name="_Toc73979881"/>
      <w:r>
        <w:rPr>
          <w:rFonts w:ascii="Times New Roman"/>
          <w:highlight w:val="none"/>
        </w:rPr>
        <w:t>第三节  深化平安乡村建设</w:t>
      </w:r>
      <w:bookmarkEnd w:id="144"/>
    </w:p>
    <w:p>
      <w:pPr>
        <w:ind w:firstLine="640"/>
        <w:rPr>
          <w:highlight w:val="none"/>
        </w:rPr>
      </w:pPr>
      <w:r>
        <w:rPr>
          <w:szCs w:val="32"/>
          <w:highlight w:val="none"/>
        </w:rPr>
        <w:t>贯彻落实四川省纠纷多元化解条例。依法规范信访秩序，建立常态化信访终结退出机制，着力将信访突出问题解决在基层。完善人民调解、行政调解、司法调解联动工作体系。加强社会治安综合治理，完善社会治安防控体系，深化乡村毒品和电信诈骗综合治理，常态化推进农村扫黑除恶工作。注重基层法治乡村人才队伍建设，落实一村一法律顾问制度，推行“一村一辅警”机制。完善基层法律援助机制，发挥律师、法律服务工作者等在提供公共法律服务中的作用。</w:t>
      </w:r>
    </w:p>
    <w:p>
      <w:pPr>
        <w:pStyle w:val="5"/>
        <w:rPr>
          <w:rFonts w:ascii="Times New Roman"/>
          <w:highlight w:val="none"/>
        </w:rPr>
      </w:pPr>
      <w:bookmarkStart w:id="145" w:name="_Toc72746667"/>
      <w:bookmarkStart w:id="146" w:name="_Toc73979882"/>
      <w:r>
        <w:rPr>
          <w:rFonts w:ascii="Times New Roman"/>
          <w:highlight w:val="none"/>
        </w:rPr>
        <w:t>第四节  强化乡村应急管理</w:t>
      </w:r>
      <w:bookmarkEnd w:id="145"/>
      <w:bookmarkEnd w:id="146"/>
    </w:p>
    <w:p>
      <w:pPr>
        <w:ind w:firstLine="640"/>
        <w:rPr>
          <w:szCs w:val="32"/>
          <w:highlight w:val="none"/>
        </w:rPr>
      </w:pPr>
      <w:r>
        <w:rPr>
          <w:szCs w:val="32"/>
          <w:highlight w:val="none"/>
        </w:rPr>
        <w:t>全面提高基层对应急管理工作的认识，完善应急响应机制，加强应急体系建设。加强农村自然灾害监测预报预警，推进基层应急广播体系建设，向城乡居民提供灾害预警应急广播服务，重点加强防汛抗旱、山体滑坡、泥石流等自然灾害应急管理及森林防火应急扑救。加大对应急管理工作的资金投入力度，做好安全文化宣传，扎实开展安全隐患排查，搭建市、县、乡联动的应急管理服务平台，完善应急设备设施配备，加强应急管理人才培训，建立一支符合本地实际、有一定专业技能的抢险救灾队伍。</w:t>
      </w:r>
    </w:p>
    <w:p>
      <w:pPr>
        <w:ind w:firstLine="0" w:firstLineChars="0"/>
        <w:jc w:val="center"/>
        <w:rPr>
          <w:rFonts w:eastAsia="方正黑体_GBK"/>
          <w:bCs/>
          <w:szCs w:val="32"/>
          <w:highlight w:val="none"/>
        </w:rPr>
      </w:pPr>
      <w:r>
        <w:rPr>
          <w:rFonts w:eastAsia="方正黑体_GBK"/>
          <w:bCs/>
          <w:szCs w:val="32"/>
          <w:highlight w:val="none"/>
        </w:rPr>
        <w:t>专栏26  乡村治理重点项目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基层党组织建设：</w:t>
            </w:r>
            <w:r>
              <w:rPr>
                <w:rFonts w:eastAsia="方正楷体_GBK"/>
                <w:sz w:val="28"/>
                <w:szCs w:val="28"/>
                <w:highlight w:val="none"/>
              </w:rPr>
              <w:t>实施村级后备力量培育工程，持续推进“一村两名后备力量培养计划”“千名学子定制培养计划”。深入实施优秀农民工回引培养工程，加大从优秀农民工、退役军人、农村致富能手、网格管理员、返乡大学毕业生等群体的党员中选拔村党组织书记。</w:t>
            </w:r>
          </w:p>
          <w:p>
            <w:pPr>
              <w:spacing w:line="500" w:lineRule="exact"/>
              <w:ind w:firstLine="560"/>
              <w:jc w:val="left"/>
              <w:rPr>
                <w:highlight w:val="none"/>
              </w:rPr>
            </w:pPr>
            <w:r>
              <w:rPr>
                <w:rFonts w:cs="Cambria Math" w:asciiTheme="majorEastAsia" w:hAnsiTheme="majorEastAsia" w:eastAsiaTheme="majorEastAsia"/>
                <w:bCs/>
                <w:snapToGrid w:val="0"/>
                <w:kern w:val="0"/>
                <w:sz w:val="28"/>
                <w:szCs w:val="28"/>
                <w:highlight w:val="none"/>
              </w:rPr>
              <w:t>◆</w:t>
            </w:r>
            <w:r>
              <w:rPr>
                <w:rFonts w:eastAsia="方正黑体_GBK"/>
                <w:sz w:val="28"/>
                <w:szCs w:val="28"/>
                <w:highlight w:val="none"/>
              </w:rPr>
              <w:t>群众自治能力建设：</w:t>
            </w:r>
            <w:r>
              <w:rPr>
                <w:rFonts w:eastAsia="方正楷体_GBK"/>
                <w:sz w:val="28"/>
                <w:szCs w:val="28"/>
                <w:highlight w:val="none"/>
              </w:rPr>
              <w:t>统筹推进乡村综治中心、司法所、基层法庭、基层派出所建设。积极创建省级乡村治理示范村镇。深化法治示范乡镇、民主法治示范村等创建活动。</w:t>
            </w:r>
          </w:p>
        </w:tc>
      </w:tr>
    </w:tbl>
    <w:p>
      <w:pPr>
        <w:ind w:firstLine="72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bookmarkStart w:id="147" w:name="_Toc72746668"/>
    </w:p>
    <w:p>
      <w:pPr>
        <w:ind w:firstLine="720"/>
        <w:jc w:val="center"/>
        <w:outlineLvl w:val="0"/>
        <w:rPr>
          <w:rFonts w:eastAsia="方正小标宋简体"/>
          <w:bCs/>
          <w:kern w:val="44"/>
          <w:sz w:val="36"/>
          <w:szCs w:val="44"/>
          <w:highlight w:val="none"/>
        </w:rPr>
      </w:pPr>
      <w:bookmarkStart w:id="148" w:name="_Toc73979883"/>
      <w:r>
        <w:rPr>
          <w:rFonts w:eastAsia="方正小标宋简体"/>
          <w:bCs/>
          <w:kern w:val="44"/>
          <w:sz w:val="36"/>
          <w:szCs w:val="44"/>
          <w:highlight w:val="none"/>
        </w:rPr>
        <w:t>第四篇  联农助农  努力提升农民现代化</w:t>
      </w:r>
      <w:bookmarkEnd w:id="147"/>
      <w:bookmarkEnd w:id="148"/>
    </w:p>
    <w:p>
      <w:pPr>
        <w:ind w:firstLine="640"/>
        <w:rPr>
          <w:szCs w:val="32"/>
          <w:highlight w:val="none"/>
        </w:rPr>
      </w:pPr>
      <w:r>
        <w:rPr>
          <w:highlight w:val="none"/>
        </w:rPr>
        <w:t>坚持把乡村人力资本开发放在首要位置，坚持全面培养、分类施策，多元主体、分工配合，广招英才、高效用才，持续完善人才服务乡村激励机制，</w:t>
      </w:r>
      <w:r>
        <w:rPr>
          <w:szCs w:val="32"/>
          <w:highlight w:val="none"/>
        </w:rPr>
        <w:t>加快推动乡村人才振兴。全面提升农民生活质量，大力促进农民增收，充分保障农村公共服务供给，进一步提升农民群众的</w:t>
      </w:r>
      <w:r>
        <w:rPr>
          <w:highlight w:val="none"/>
        </w:rPr>
        <w:t>幸福感获得感</w:t>
      </w:r>
      <w:r>
        <w:rPr>
          <w:szCs w:val="32"/>
          <w:highlight w:val="none"/>
        </w:rPr>
        <w:t>。</w:t>
      </w:r>
    </w:p>
    <w:p>
      <w:pPr>
        <w:ind w:firstLine="0" w:firstLineChars="0"/>
        <w:jc w:val="center"/>
        <w:outlineLvl w:val="1"/>
        <w:rPr>
          <w:rFonts w:eastAsia="方正黑体_GBK"/>
          <w:bCs/>
          <w:szCs w:val="32"/>
          <w:highlight w:val="none"/>
        </w:rPr>
      </w:pPr>
      <w:bookmarkStart w:id="149" w:name="_Toc72746669"/>
      <w:bookmarkStart w:id="150" w:name="_Toc73979884"/>
      <w:r>
        <w:rPr>
          <w:rFonts w:eastAsia="方正黑体_GBK"/>
          <w:bCs/>
          <w:szCs w:val="32"/>
          <w:highlight w:val="none"/>
        </w:rPr>
        <w:t>第一章  农民素质现代化</w:t>
      </w:r>
      <w:bookmarkEnd w:id="149"/>
      <w:bookmarkEnd w:id="150"/>
    </w:p>
    <w:p>
      <w:pPr>
        <w:pStyle w:val="5"/>
        <w:rPr>
          <w:rFonts w:ascii="Times New Roman"/>
          <w:highlight w:val="none"/>
        </w:rPr>
      </w:pPr>
      <w:bookmarkStart w:id="151" w:name="_Toc73979885"/>
      <w:bookmarkStart w:id="152" w:name="_Toc72746670"/>
      <w:r>
        <w:rPr>
          <w:rFonts w:ascii="Times New Roman"/>
          <w:highlight w:val="none"/>
        </w:rPr>
        <w:t>第一节  培养高素质农民</w:t>
      </w:r>
      <w:bookmarkEnd w:id="151"/>
      <w:bookmarkEnd w:id="152"/>
    </w:p>
    <w:p>
      <w:pPr>
        <w:ind w:firstLine="640"/>
        <w:rPr>
          <w:highlight w:val="none"/>
        </w:rPr>
      </w:pPr>
      <w:r>
        <w:rPr>
          <w:szCs w:val="32"/>
          <w:highlight w:val="none"/>
        </w:rPr>
        <w:t>实施高素质农民培育工程、农村实用人才培养计划，突出抓好农业经理人、家庭农场主、农民合作社带头人、农村集体经济组织带头人的培育。完善教育培训、认定管理、政策扶持“三位一体”制度体系，强化训后技术指导和跟踪服务。加大农村实用人才培育资金投入力度，鼓励基层农技人员发挥技术服务优势，涉农高校、职教中心等发挥资源优势，建立各类资源有序参与的培育机制。创新打造“线上+线下”相结合的培育平台，提高农民整体素质水平。建设一批农村创业创新孵化实训基地，开展返乡创业培训和职业技能培训，推动农村创新创业高质量发展。</w:t>
      </w:r>
    </w:p>
    <w:p>
      <w:pPr>
        <w:pStyle w:val="5"/>
        <w:rPr>
          <w:rFonts w:ascii="Times New Roman"/>
          <w:highlight w:val="none"/>
        </w:rPr>
      </w:pPr>
      <w:bookmarkStart w:id="153" w:name="_Toc73979886"/>
      <w:bookmarkStart w:id="154" w:name="_Toc72746671"/>
      <w:r>
        <w:rPr>
          <w:rFonts w:ascii="Times New Roman"/>
          <w:highlight w:val="none"/>
        </w:rPr>
        <w:t>第二节  培育乡村工匠</w:t>
      </w:r>
      <w:bookmarkEnd w:id="153"/>
      <w:bookmarkEnd w:id="154"/>
    </w:p>
    <w:p>
      <w:pPr>
        <w:ind w:firstLine="640"/>
        <w:rPr>
          <w:szCs w:val="32"/>
          <w:highlight w:val="none"/>
        </w:rPr>
      </w:pPr>
      <w:r>
        <w:rPr>
          <w:szCs w:val="32"/>
          <w:highlight w:val="none"/>
        </w:rPr>
        <w:t>实施十万人才振兴乡村计划和乡村本土建设人才培育工程，积极挖掘“田秀才”“土专家”“乡创客”等乡土人才以及乡村工匠、文化能人、手工艺人、行业师傅等能工巧匠，鼓励创办家庭工厂、手工作坊、乡村车间，设立能够系统开展研习培训、示范引导和品牌培育等内容的服务工作站，将农民培养成专家、企业家，培养和造就一批懂农业、爱农村和爱农民的乡村振兴人才队伍。深入开展“乡土人才超市”“乡村振兴专家服务团”服务活动及名家名人工作室、乡土人才工作室等创建活动，为本土人才发挥聪明才智提供广阔空间。鼓励有条件的高等院校、职业院校开展传统技艺传承教育。</w:t>
      </w:r>
    </w:p>
    <w:p>
      <w:pPr>
        <w:pStyle w:val="5"/>
        <w:rPr>
          <w:rFonts w:ascii="Times New Roman"/>
          <w:highlight w:val="none"/>
        </w:rPr>
      </w:pPr>
      <w:bookmarkStart w:id="155" w:name="_Toc73979887"/>
      <w:bookmarkStart w:id="156" w:name="_Toc72746672"/>
      <w:r>
        <w:rPr>
          <w:rFonts w:ascii="Times New Roman"/>
          <w:highlight w:val="none"/>
        </w:rPr>
        <w:t>第三节  注重人才引进</w:t>
      </w:r>
      <w:bookmarkEnd w:id="155"/>
      <w:bookmarkEnd w:id="156"/>
    </w:p>
    <w:p>
      <w:pPr>
        <w:ind w:firstLine="640"/>
        <w:rPr>
          <w:szCs w:val="32"/>
          <w:highlight w:val="none"/>
        </w:rPr>
      </w:pPr>
      <w:r>
        <w:rPr>
          <w:szCs w:val="32"/>
          <w:highlight w:val="none"/>
        </w:rPr>
        <w:t>健全人才引进政策体系，搭建乡村引才聚才平台，打通城乡人才培养交流通道，让各类人才引得进、留得住、用得好。</w:t>
      </w:r>
      <w:r>
        <w:rPr>
          <w:rFonts w:hint="eastAsia"/>
          <w:szCs w:val="32"/>
          <w:highlight w:val="none"/>
        </w:rPr>
        <w:t>积极采取</w:t>
      </w:r>
      <w:r>
        <w:rPr>
          <w:szCs w:val="32"/>
          <w:highlight w:val="none"/>
        </w:rPr>
        <w:t>“</w:t>
      </w:r>
      <w:r>
        <w:rPr>
          <w:rFonts w:hint="eastAsia"/>
          <w:szCs w:val="32"/>
          <w:highlight w:val="none"/>
        </w:rPr>
        <w:t>候鸟型</w:t>
      </w:r>
      <w:r>
        <w:rPr>
          <w:szCs w:val="32"/>
          <w:highlight w:val="none"/>
        </w:rPr>
        <w:t>”</w:t>
      </w:r>
      <w:r>
        <w:rPr>
          <w:rFonts w:hint="eastAsia"/>
          <w:szCs w:val="32"/>
          <w:highlight w:val="none"/>
        </w:rPr>
        <w:t>人才工作站、</w:t>
      </w:r>
      <w:r>
        <w:rPr>
          <w:szCs w:val="32"/>
          <w:highlight w:val="none"/>
        </w:rPr>
        <w:t>“</w:t>
      </w:r>
      <w:r>
        <w:rPr>
          <w:rFonts w:hint="eastAsia"/>
          <w:szCs w:val="32"/>
          <w:highlight w:val="none"/>
        </w:rPr>
        <w:t>周末工程师</w:t>
      </w:r>
      <w:r>
        <w:rPr>
          <w:szCs w:val="32"/>
          <w:highlight w:val="none"/>
        </w:rPr>
        <w:t>”</w:t>
      </w:r>
      <w:r>
        <w:rPr>
          <w:rFonts w:hint="eastAsia"/>
          <w:szCs w:val="32"/>
          <w:highlight w:val="none"/>
        </w:rPr>
        <w:t>等做法，建设</w:t>
      </w:r>
      <w:r>
        <w:rPr>
          <w:szCs w:val="32"/>
          <w:highlight w:val="none"/>
        </w:rPr>
        <w:t>院士（专家）工作站、博士后创新实践基地、技能大师工作室等平台，柔性引进产业发展急需紧缺高层次人才。深入实施专家智力服务基层示范行动、“一村一名大学生”培育计划，充分利用各级人才优惠政策，吸引人才向农村基层和艰苦边远地区流动，积极带动村民发展生产、做精农业，搞好农村建设。</w:t>
      </w:r>
      <w:r>
        <w:rPr>
          <w:rFonts w:hint="eastAsia"/>
          <w:szCs w:val="32"/>
          <w:highlight w:val="none"/>
        </w:rPr>
        <w:t>实施卓越农林人才教育培训计划</w:t>
      </w:r>
      <w:r>
        <w:rPr>
          <w:szCs w:val="32"/>
          <w:highlight w:val="none"/>
        </w:rPr>
        <w:t>2.0</w:t>
      </w:r>
      <w:r>
        <w:rPr>
          <w:rFonts w:hint="eastAsia"/>
          <w:szCs w:val="32"/>
          <w:highlight w:val="none"/>
        </w:rPr>
        <w:t>，大力发展</w:t>
      </w:r>
      <w:r>
        <w:rPr>
          <w:szCs w:val="32"/>
          <w:highlight w:val="none"/>
        </w:rPr>
        <w:t>“</w:t>
      </w:r>
      <w:r>
        <w:rPr>
          <w:rFonts w:hint="eastAsia"/>
          <w:szCs w:val="32"/>
          <w:highlight w:val="none"/>
        </w:rPr>
        <w:t>新农科</w:t>
      </w:r>
      <w:r>
        <w:rPr>
          <w:szCs w:val="32"/>
          <w:highlight w:val="none"/>
        </w:rPr>
        <w:t>”</w:t>
      </w:r>
      <w:r>
        <w:rPr>
          <w:rFonts w:hint="eastAsia"/>
          <w:szCs w:val="32"/>
          <w:highlight w:val="none"/>
        </w:rPr>
        <w:t>，建设一流涉农专业与课程，</w:t>
      </w:r>
      <w:r>
        <w:rPr>
          <w:szCs w:val="32"/>
          <w:highlight w:val="none"/>
        </w:rPr>
        <w:t>采用“定点招生、定向培养、协议就业”等方式，引进一批农业从业人才。</w:t>
      </w:r>
    </w:p>
    <w:p>
      <w:pPr>
        <w:ind w:firstLine="0" w:firstLineChars="0"/>
        <w:jc w:val="center"/>
        <w:outlineLvl w:val="1"/>
        <w:rPr>
          <w:rFonts w:eastAsia="方正黑体_GBK"/>
          <w:bCs/>
          <w:szCs w:val="32"/>
          <w:highlight w:val="none"/>
        </w:rPr>
      </w:pPr>
      <w:bookmarkStart w:id="157" w:name="_Toc73979888"/>
      <w:bookmarkStart w:id="158" w:name="_Toc72746673"/>
      <w:r>
        <w:rPr>
          <w:rFonts w:eastAsia="方正黑体_GBK"/>
          <w:bCs/>
          <w:szCs w:val="32"/>
          <w:highlight w:val="none"/>
        </w:rPr>
        <w:t>第二章  农民生活现代化</w:t>
      </w:r>
      <w:bookmarkEnd w:id="157"/>
      <w:bookmarkEnd w:id="158"/>
    </w:p>
    <w:p>
      <w:pPr>
        <w:pStyle w:val="5"/>
        <w:rPr>
          <w:rFonts w:ascii="Times New Roman"/>
          <w:highlight w:val="none"/>
        </w:rPr>
      </w:pPr>
      <w:bookmarkStart w:id="159" w:name="_Toc72746674"/>
      <w:bookmarkStart w:id="160" w:name="_Toc73979889"/>
      <w:r>
        <w:rPr>
          <w:rFonts w:ascii="Times New Roman"/>
          <w:highlight w:val="none"/>
        </w:rPr>
        <w:t>第一节  稳步提升农民生活质量</w:t>
      </w:r>
      <w:bookmarkEnd w:id="159"/>
      <w:bookmarkEnd w:id="160"/>
    </w:p>
    <w:p>
      <w:pPr>
        <w:ind w:firstLine="640"/>
        <w:rPr>
          <w:szCs w:val="32"/>
          <w:highlight w:val="none"/>
        </w:rPr>
      </w:pPr>
      <w:r>
        <w:rPr>
          <w:szCs w:val="32"/>
          <w:highlight w:val="none"/>
        </w:rPr>
        <w:t>探索建立以收入、恩格尔系数、汽车保有量、住房条件等各方面评价指标组成的农村居民生活质量评价指标体系，并定期进行评价，运用评价结果，谋划农民生活质量提升措施。强化农村生活性服务业支持，促进农村居民耐用消费品更新换代，增加线上线下相结合的服务网点，推动便利化、精细化、品质化发展，满足农村居民消费升级需要。健全农村文化服务体系，增加文化产品和服务供给，创新提升农民丰收节等重大活动质量，常态化开展各类乡村节庆与公共文旅活动，多形式丰富农民文化生活。组织专业文艺工作者深入农村基层，通过开展专业培训、策划组织活动、扶持业余团队等形式激发基层文化活力，提升农民精神生活质量。</w:t>
      </w:r>
    </w:p>
    <w:p>
      <w:pPr>
        <w:pStyle w:val="5"/>
        <w:rPr>
          <w:rFonts w:ascii="Times New Roman"/>
          <w:highlight w:val="none"/>
        </w:rPr>
      </w:pPr>
      <w:bookmarkStart w:id="161" w:name="_Toc73979890"/>
      <w:bookmarkStart w:id="162" w:name="_Toc72746675"/>
      <w:r>
        <w:rPr>
          <w:rFonts w:ascii="Times New Roman"/>
          <w:highlight w:val="none"/>
        </w:rPr>
        <w:t>第二节  全面提升农民收入水平</w:t>
      </w:r>
      <w:bookmarkEnd w:id="161"/>
      <w:bookmarkEnd w:id="162"/>
    </w:p>
    <w:p>
      <w:pPr>
        <w:ind w:firstLine="640"/>
        <w:rPr>
          <w:szCs w:val="32"/>
          <w:highlight w:val="none"/>
        </w:rPr>
      </w:pPr>
      <w:r>
        <w:rPr>
          <w:szCs w:val="32"/>
          <w:highlight w:val="none"/>
        </w:rPr>
        <w:t>落实农民增收县（市、区）委书记和县（市、区）长负责制。大力发展县域经济，提升农村经济发展水平。</w:t>
      </w:r>
      <w:r>
        <w:rPr>
          <w:highlight w:val="none"/>
        </w:rPr>
        <w:t>盘活农村闲置宅基地、房屋等资产，</w:t>
      </w:r>
      <w:r>
        <w:rPr>
          <w:szCs w:val="32"/>
          <w:highlight w:val="none"/>
        </w:rPr>
        <w:t>壮大集体经济，培育一批村级集体经济强村，增加农民财产性收入。持续加大农民补贴等惠农富农政策力度，完善农村社会保障制度，保障转移性收入。发展富民乡村产业，</w:t>
      </w:r>
      <w:r>
        <w:rPr>
          <w:highlight w:val="none"/>
        </w:rPr>
        <w:t>开展农业生产、加工、商贸物流、文旅服务等三产融合，引导农民以产权、资金、劳动、技术等与经营主体开展多种形式的合作，</w:t>
      </w:r>
      <w:r>
        <w:rPr>
          <w:szCs w:val="32"/>
          <w:highlight w:val="none"/>
        </w:rPr>
        <w:t>完善保障农民收益的利益联合机制，提高农民经营性收入。进一步规范涉农收费，深入开展减负惠农政策的监督落实，建立健全农民负担监管长效机制，切实保障农民的合法权益。加大特色职业技能培训、终身职业技能培训力度，拓宽就业渠道，优化就业服务，开发农村社会管理服务岗位，创造更多就业机会，增加劳务性收入。深入贯彻《保障农民工工资支付条例》，严格落实农民工欠薪工作属地责任制，将其纳入对本级政府有关部门和下级政府的目标绩效考核。</w:t>
      </w:r>
    </w:p>
    <w:p>
      <w:pPr>
        <w:pStyle w:val="5"/>
        <w:rPr>
          <w:rFonts w:ascii="Times New Roman"/>
          <w:highlight w:val="none"/>
        </w:rPr>
      </w:pPr>
      <w:bookmarkStart w:id="163" w:name="_Toc72746676"/>
      <w:bookmarkStart w:id="164" w:name="_Toc73979891"/>
      <w:r>
        <w:rPr>
          <w:rFonts w:ascii="Times New Roman"/>
          <w:highlight w:val="none"/>
        </w:rPr>
        <w:t>第三节  持续提升公共服务水平</w:t>
      </w:r>
      <w:bookmarkEnd w:id="163"/>
      <w:bookmarkEnd w:id="164"/>
    </w:p>
    <w:p>
      <w:pPr>
        <w:ind w:firstLine="640"/>
        <w:rPr>
          <w:szCs w:val="32"/>
          <w:highlight w:val="none"/>
        </w:rPr>
      </w:pPr>
      <w:r>
        <w:rPr>
          <w:szCs w:val="32"/>
          <w:highlight w:val="none"/>
        </w:rPr>
        <w:t>以城乡统筹为方略，建立健全有利于城乡基本公共服务普惠共享的体制机制，推进城乡基本公共服务标准统一、制度并轨，推进公共服务向乡村延伸，向村户覆盖。加快完善公共财政体系，加大农村公共产品的支持力度，建立城市医生、教师、科技、文化等人才定期服务乡村及交流制度。加强“校联体”（教育联盟）建设，组织城区优质中小学校与有关地区薄弱中小学校建立城乡对口帮扶机制，开展一体化办学，深化义务教育阶段教师管理改革，推动城市优质教育资源向县乡基层流动。完善村卫生站等基础设施建设，</w:t>
      </w:r>
      <w:r>
        <w:rPr>
          <w:highlight w:val="none"/>
        </w:rPr>
        <w:t>改善乡镇卫生院和村卫生室条件，加快推进“医联体”建设，在通川区试点推动综合实力较强的县级医院与乡村医疗卫生机构建设紧密型医疗共同体，</w:t>
      </w:r>
      <w:r>
        <w:rPr>
          <w:szCs w:val="32"/>
          <w:highlight w:val="none"/>
        </w:rPr>
        <w:t>壮大农村全科医生、家庭医生队伍，提升医疗保障水平。深入贯彻落实新修订的《中华人民共和国未成年人保护法》，切实维护未成年人身心健康、保障未成年人合法权益。加大农村养老服务投入，健全县乡村衔接的三级养老服务网络，培育农村为老服务社会组织，发展农村普惠型养老服务和互助型养老。统筹规划乡村公共文化空间，加强基层文化骨干培训，推进城乡公共文化服务体系一体化建设，开展文艺下乡活动，组织引导市民以传承弘扬巴文化为重点自办文化活动。完善升级物流配送体系，推进快递服务进村入户。建立健全新型社会救助体系，逐步构建多元化新型社会救助体系，做到农村低保水平与农民人均纯收入同步增长，使城乡居民同享改革发展的成果。</w:t>
      </w:r>
    </w:p>
    <w:p>
      <w:pPr>
        <w:ind w:firstLine="0" w:firstLineChars="0"/>
        <w:jc w:val="center"/>
        <w:rPr>
          <w:rFonts w:eastAsia="方正黑体_GBK"/>
          <w:bCs/>
          <w:szCs w:val="32"/>
          <w:highlight w:val="none"/>
        </w:rPr>
      </w:pPr>
      <w:r>
        <w:rPr>
          <w:rFonts w:eastAsia="方正黑体_GBK"/>
          <w:bCs/>
          <w:szCs w:val="32"/>
          <w:highlight w:val="none"/>
        </w:rPr>
        <w:t>专栏27  农民现代化发展重点项目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44"/>
              <w:rPr>
                <w:rFonts w:eastAsia="方正楷体_GBK"/>
                <w:spacing w:val="-4"/>
                <w:kern w:val="0"/>
                <w:sz w:val="28"/>
                <w:szCs w:val="28"/>
                <w:highlight w:val="none"/>
              </w:rPr>
            </w:pPr>
            <w:r>
              <w:rPr>
                <w:rFonts w:cs="Cambria Math" w:asciiTheme="majorEastAsia" w:hAnsiTheme="majorEastAsia" w:eastAsiaTheme="majorEastAsia"/>
                <w:bCs/>
                <w:snapToGrid w:val="0"/>
                <w:color w:val="000000"/>
                <w:spacing w:val="-4"/>
                <w:kern w:val="0"/>
                <w:sz w:val="28"/>
                <w:szCs w:val="28"/>
                <w:highlight w:val="none"/>
              </w:rPr>
              <w:t>◆</w:t>
            </w:r>
            <w:r>
              <w:rPr>
                <w:rFonts w:eastAsia="方正黑体_GBK"/>
                <w:spacing w:val="-4"/>
                <w:sz w:val="28"/>
                <w:szCs w:val="28"/>
                <w:highlight w:val="none"/>
              </w:rPr>
              <w:t>高素质农民培养</w:t>
            </w:r>
            <w:r>
              <w:rPr>
                <w:rFonts w:eastAsia="宋体"/>
                <w:bCs/>
                <w:snapToGrid w:val="0"/>
                <w:color w:val="000000"/>
                <w:spacing w:val="-4"/>
                <w:kern w:val="0"/>
                <w:sz w:val="28"/>
                <w:szCs w:val="28"/>
                <w:highlight w:val="none"/>
              </w:rPr>
              <w:t>：</w:t>
            </w:r>
            <w:r>
              <w:rPr>
                <w:rFonts w:eastAsia="方正楷体_GBK"/>
                <w:spacing w:val="-4"/>
                <w:kern w:val="0"/>
                <w:sz w:val="28"/>
                <w:szCs w:val="28"/>
                <w:highlight w:val="none"/>
              </w:rPr>
              <w:t>以经管管理型、生产技能型和专业服务型等类型为重点，加大产业领军人才、农业经理人、新型农业经管服务主体经营者、返乡入乡创新创业者、专业种养能手等高素质农民培养力度。到2025年，每个行政村培育</w:t>
            </w:r>
            <w:r>
              <w:rPr>
                <w:rFonts w:eastAsia="方正楷体_GBK"/>
                <w:kern w:val="0"/>
                <w:sz w:val="28"/>
                <w:szCs w:val="28"/>
                <w:highlight w:val="none"/>
              </w:rPr>
              <w:t>**</w:t>
            </w:r>
            <w:r>
              <w:rPr>
                <w:rFonts w:eastAsia="方正楷体_GBK"/>
                <w:spacing w:val="-4"/>
                <w:kern w:val="0"/>
                <w:sz w:val="28"/>
                <w:szCs w:val="28"/>
                <w:highlight w:val="none"/>
              </w:rPr>
              <w:t>名以上高素质农民，全市打造一支</w:t>
            </w:r>
            <w:r>
              <w:rPr>
                <w:rFonts w:eastAsia="方正楷体_GBK"/>
                <w:kern w:val="0"/>
                <w:sz w:val="28"/>
                <w:szCs w:val="28"/>
                <w:highlight w:val="none"/>
              </w:rPr>
              <w:t>**</w:t>
            </w:r>
            <w:r>
              <w:rPr>
                <w:rFonts w:eastAsia="方正楷体_GBK"/>
                <w:spacing w:val="-4"/>
                <w:kern w:val="0"/>
                <w:sz w:val="28"/>
                <w:szCs w:val="28"/>
                <w:highlight w:val="none"/>
              </w:rPr>
              <w:t>高素质农民大军。</w:t>
            </w:r>
          </w:p>
          <w:p>
            <w:pPr>
              <w:spacing w:line="500" w:lineRule="exact"/>
              <w:ind w:firstLine="560"/>
              <w:rPr>
                <w:rFonts w:eastAsia="方正楷体_GBK"/>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人才引进</w:t>
            </w:r>
            <w:r>
              <w:rPr>
                <w:rFonts w:eastAsia="宋体"/>
                <w:bCs/>
                <w:snapToGrid w:val="0"/>
                <w:color w:val="000000"/>
                <w:kern w:val="0"/>
                <w:sz w:val="28"/>
                <w:szCs w:val="28"/>
                <w:highlight w:val="none"/>
              </w:rPr>
              <w:t>：</w:t>
            </w:r>
            <w:r>
              <w:rPr>
                <w:rFonts w:eastAsia="方正楷体_GBK"/>
                <w:kern w:val="0"/>
                <w:sz w:val="28"/>
                <w:szCs w:val="28"/>
                <w:highlight w:val="none"/>
              </w:rPr>
              <w:t>继续开展“千名硕博进达州”行动、乡村招才引智行动计划、高校毕业生基层成长计划、特岗</w:t>
            </w:r>
            <w:r>
              <w:rPr>
                <w:rFonts w:hint="eastAsia" w:eastAsia="方正楷体_GBK"/>
                <w:kern w:val="0"/>
                <w:sz w:val="28"/>
                <w:szCs w:val="28"/>
                <w:highlight w:val="none"/>
              </w:rPr>
              <w:t>计划</w:t>
            </w:r>
            <w:r>
              <w:rPr>
                <w:rFonts w:eastAsia="方正楷体_GBK"/>
                <w:kern w:val="0"/>
                <w:sz w:val="28"/>
                <w:szCs w:val="28"/>
                <w:highlight w:val="none"/>
              </w:rPr>
              <w:t>、“三支一扶”计划、大学生志愿服务西部计划、优秀农民工回引培养工程、乡贤回归工程，深入实施专家智力服务基层示范行动、优秀规划设计团队下乡计划，引导一批大中专毕业生、退役军人、科技人员、农村致富能手等各类人才投身乡村建设。</w:t>
            </w:r>
          </w:p>
          <w:p>
            <w:pPr>
              <w:spacing w:line="500" w:lineRule="exact"/>
              <w:ind w:firstLine="560"/>
              <w:rPr>
                <w:rFonts w:eastAsia="方正楷体_GBK"/>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农村中低收入群体收入倍增计划</w:t>
            </w:r>
            <w:r>
              <w:rPr>
                <w:rFonts w:eastAsia="宋体"/>
                <w:bCs/>
                <w:snapToGrid w:val="0"/>
                <w:color w:val="000000"/>
                <w:kern w:val="0"/>
                <w:sz w:val="28"/>
                <w:szCs w:val="28"/>
                <w:highlight w:val="none"/>
              </w:rPr>
              <w:t>：</w:t>
            </w:r>
            <w:r>
              <w:rPr>
                <w:rFonts w:eastAsia="方正楷体_GBK"/>
                <w:kern w:val="0"/>
                <w:sz w:val="28"/>
                <w:szCs w:val="28"/>
                <w:highlight w:val="none"/>
              </w:rPr>
              <w:t>建立精准帮扶机制，通过发展乡村产业、务工就业、财产分红、转移支付等方式，力争</w:t>
            </w:r>
            <w:r>
              <w:rPr>
                <w:rFonts w:eastAsia="方正楷体_GBK"/>
                <w:kern w:val="0"/>
                <w:sz w:val="28"/>
                <w:szCs w:val="28"/>
                <w:highlight w:val="none"/>
              </w:rPr>
              <w:t>**</w:t>
            </w:r>
            <w:r>
              <w:rPr>
                <w:rFonts w:eastAsia="方正楷体_GBK"/>
                <w:kern w:val="0"/>
                <w:sz w:val="28"/>
                <w:szCs w:val="28"/>
                <w:highlight w:val="none"/>
              </w:rPr>
              <w:t>年左右时间实现农村中等以下收入群体人均可支配收入较2020年翻一番。</w:t>
            </w:r>
          </w:p>
          <w:p>
            <w:pPr>
              <w:spacing w:line="500" w:lineRule="exact"/>
              <w:ind w:firstLine="560"/>
              <w:rPr>
                <w:rFonts w:eastAsia="方正楷体_GBK"/>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提升公共服务水平</w:t>
            </w:r>
            <w:r>
              <w:rPr>
                <w:rFonts w:eastAsia="宋体"/>
                <w:bCs/>
                <w:snapToGrid w:val="0"/>
                <w:color w:val="000000"/>
                <w:kern w:val="0"/>
                <w:sz w:val="28"/>
                <w:szCs w:val="28"/>
                <w:highlight w:val="none"/>
              </w:rPr>
              <w:t>：</w:t>
            </w:r>
            <w:r>
              <w:rPr>
                <w:rFonts w:eastAsia="方正楷体_GBK"/>
                <w:kern w:val="0"/>
                <w:sz w:val="28"/>
                <w:szCs w:val="28"/>
                <w:highlight w:val="none"/>
              </w:rPr>
              <w:t>依托中心镇、特色镇</w:t>
            </w:r>
            <w:r>
              <w:rPr>
                <w:rFonts w:eastAsia="方正楷体_GBK"/>
                <w:kern w:val="0"/>
                <w:sz w:val="28"/>
                <w:szCs w:val="28"/>
                <w:highlight w:val="none"/>
              </w:rPr>
              <w:t>卫生院规划建设**个县城</w:t>
            </w:r>
            <w:r>
              <w:rPr>
                <w:rFonts w:eastAsia="方正楷体_GBK"/>
                <w:kern w:val="0"/>
                <w:sz w:val="28"/>
                <w:szCs w:val="28"/>
                <w:highlight w:val="none"/>
              </w:rPr>
              <w:t>卫生次中心。</w:t>
            </w:r>
            <w:r>
              <w:rPr>
                <w:rFonts w:eastAsia="方正楷体_GBK"/>
                <w:kern w:val="0"/>
                <w:sz w:val="28"/>
                <w:szCs w:val="28"/>
                <w:highlight w:val="none"/>
              </w:rPr>
              <w:t>建设**个乡镇</w:t>
            </w:r>
            <w:r>
              <w:rPr>
                <w:rFonts w:eastAsia="方正楷体_GBK"/>
                <w:kern w:val="0"/>
                <w:sz w:val="28"/>
                <w:szCs w:val="28"/>
                <w:highlight w:val="none"/>
              </w:rPr>
              <w:t>级农村社区建设中心。支持建设乡镇社会工作服务站点。推进农村公益性殡葬设施建设。</w:t>
            </w:r>
          </w:p>
        </w:tc>
      </w:tr>
    </w:tbl>
    <w:p>
      <w:pPr>
        <w:ind w:firstLine="72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bookmarkStart w:id="165" w:name="_Toc72746677"/>
    </w:p>
    <w:p>
      <w:pPr>
        <w:ind w:firstLine="720"/>
        <w:jc w:val="center"/>
        <w:outlineLvl w:val="0"/>
        <w:rPr>
          <w:rFonts w:eastAsia="方正小标宋简体"/>
          <w:bCs/>
          <w:kern w:val="44"/>
          <w:sz w:val="36"/>
          <w:szCs w:val="44"/>
          <w:highlight w:val="none"/>
        </w:rPr>
      </w:pPr>
      <w:bookmarkStart w:id="166" w:name="_Toc73979892"/>
      <w:r>
        <w:rPr>
          <w:rFonts w:eastAsia="方正小标宋简体"/>
          <w:bCs/>
          <w:kern w:val="44"/>
          <w:sz w:val="36"/>
          <w:szCs w:val="44"/>
          <w:highlight w:val="none"/>
        </w:rPr>
        <w:t>第五篇  接续推进  巩固拓展脱贫攻坚成果同乡村振兴有效衔接</w:t>
      </w:r>
      <w:bookmarkEnd w:id="166"/>
    </w:p>
    <w:p>
      <w:pPr>
        <w:ind w:firstLine="640"/>
        <w:rPr>
          <w:highlight w:val="none"/>
        </w:rPr>
      </w:pPr>
      <w:r>
        <w:rPr>
          <w:szCs w:val="32"/>
          <w:highlight w:val="none"/>
        </w:rPr>
        <w:t>建立健全巩固拓展脱贫攻坚成果长效机制，优化调整帮扶工作机制和政策，做好巩固拓展脱贫攻坚成果与全面推进乡村振兴在工作力量、组织保障、项目建设、扶持政策、要素保障等方面的有效衔接，持续推进脱贫地区乡村振兴。</w:t>
      </w:r>
    </w:p>
    <w:p>
      <w:pPr>
        <w:ind w:firstLine="0" w:firstLineChars="0"/>
        <w:jc w:val="center"/>
        <w:outlineLvl w:val="1"/>
        <w:rPr>
          <w:rFonts w:eastAsia="方正黑体_GBK"/>
          <w:bCs/>
          <w:szCs w:val="32"/>
          <w:highlight w:val="none"/>
        </w:rPr>
      </w:pPr>
      <w:bookmarkStart w:id="167" w:name="_Toc73979893"/>
      <w:r>
        <w:rPr>
          <w:rFonts w:eastAsia="方正黑体_GBK"/>
          <w:bCs/>
          <w:szCs w:val="32"/>
          <w:highlight w:val="none"/>
        </w:rPr>
        <w:t>第一章  守住底线，确保不发生规模性返贫</w:t>
      </w:r>
      <w:bookmarkEnd w:id="167"/>
    </w:p>
    <w:p>
      <w:pPr>
        <w:ind w:firstLine="640"/>
        <w:rPr>
          <w:szCs w:val="32"/>
          <w:highlight w:val="none"/>
        </w:rPr>
      </w:pPr>
      <w:r>
        <w:rPr>
          <w:szCs w:val="32"/>
          <w:highlight w:val="none"/>
        </w:rPr>
        <w:t>健全防止返贫动态帮扶和监测机制，对易返贫致贫人口实施常态化监测，健全农村低收入人口常态化分类帮扶机制，建立产业、就业等后续帮扶政策，巩固“两不愁三保障”成果，巩固提升低收入群体义务教育、农村医疗、基本住房安全、农村供水保障水平，完善脱贫地区养老保障、儿童关爱和残疾人帮扶服务，做到精准识别、应救尽救、应兜尽兜。加强易地扶贫搬迁后续扶持，强化集中安置点基础设施、公共服务配套及社区治理。持续深化东西部协作和定点帮扶、社会力量参与等帮扶工作，巩固提升帮扶成效。加强扶贫项目资产管理和监督，分类摸清各类扶贫项目形成的资产底数，落实公益性资产管护主体，明晰经营性资产产权关系。</w:t>
      </w:r>
    </w:p>
    <w:p>
      <w:pPr>
        <w:ind w:firstLine="0" w:firstLineChars="0"/>
        <w:jc w:val="center"/>
        <w:outlineLvl w:val="1"/>
        <w:rPr>
          <w:rFonts w:eastAsia="方正黑体_GBK"/>
          <w:bCs/>
          <w:szCs w:val="32"/>
          <w:highlight w:val="none"/>
        </w:rPr>
      </w:pPr>
      <w:bookmarkStart w:id="168" w:name="_Toc73979894"/>
      <w:r>
        <w:rPr>
          <w:rFonts w:eastAsia="方正黑体_GBK"/>
          <w:bCs/>
          <w:szCs w:val="32"/>
          <w:highlight w:val="none"/>
        </w:rPr>
        <w:t>第二章  壮大产业，推进脱贫地区特色产业持续发展</w:t>
      </w:r>
      <w:bookmarkEnd w:id="168"/>
    </w:p>
    <w:p>
      <w:pPr>
        <w:ind w:firstLine="616"/>
        <w:rPr>
          <w:spacing w:val="-6"/>
          <w:highlight w:val="none"/>
        </w:rPr>
      </w:pPr>
      <w:r>
        <w:rPr>
          <w:spacing w:val="-6"/>
          <w:highlight w:val="none"/>
        </w:rPr>
        <w:t>持续加强产业发展扶持政策举措，把扶贫产业纳入乡村产业振兴框架统筹推进，把提高扶贫产业的质量效益和市场竞争力作为关键任务来抓。深化农业供给侧结构性改革，在扶贫种养业已具备一定规模的地方，实施特色种养业提升行动，强化农产品产地初加工和精深加工，提高农产品的加工深度和附加值，广泛开展农产品产销对接活动，推进“产业扶贫”与“产业振兴”有效衔接。推动农业与乡村旅游、康养等产业融合发展，挖掘自然生态、乡村文化资源等潜力，开发农业多种功能，让农户更多分享产业增值收益，促进脱贫地区乡村产业多元化可持续发展。</w:t>
      </w:r>
    </w:p>
    <w:p>
      <w:pPr>
        <w:ind w:firstLine="0" w:firstLineChars="0"/>
        <w:jc w:val="center"/>
        <w:outlineLvl w:val="1"/>
        <w:rPr>
          <w:rFonts w:eastAsia="方正黑体_GBK"/>
          <w:bCs/>
          <w:szCs w:val="32"/>
          <w:highlight w:val="none"/>
        </w:rPr>
      </w:pPr>
      <w:bookmarkStart w:id="169" w:name="_Toc73979895"/>
      <w:r>
        <w:rPr>
          <w:rFonts w:eastAsia="方正黑体_GBK"/>
          <w:bCs/>
          <w:szCs w:val="32"/>
          <w:highlight w:val="none"/>
        </w:rPr>
        <w:t>第三章  健全政策，推动政策举措平稳转向支持乡村振兴</w:t>
      </w:r>
      <w:bookmarkEnd w:id="169"/>
    </w:p>
    <w:p>
      <w:pPr>
        <w:ind w:firstLine="640"/>
        <w:rPr>
          <w:highlight w:val="none"/>
        </w:rPr>
      </w:pPr>
      <w:r>
        <w:rPr>
          <w:szCs w:val="32"/>
          <w:highlight w:val="none"/>
        </w:rPr>
        <w:t>各县（市、区）从脱贫之日起设立5年过渡期，过渡期内确保主要帮扶政策总体稳定，并逐项分类优化调整，</w:t>
      </w:r>
      <w:r>
        <w:rPr>
          <w:highlight w:val="none"/>
        </w:rPr>
        <w:t>逐步实现由集中资源支持脱贫攻坚向全面推进乡村振兴平稳过渡</w:t>
      </w:r>
      <w:r>
        <w:rPr>
          <w:szCs w:val="32"/>
          <w:highlight w:val="none"/>
        </w:rPr>
        <w:t>。</w:t>
      </w:r>
      <w:r>
        <w:rPr>
          <w:highlight w:val="none"/>
        </w:rPr>
        <w:t>强化四级书记抓乡村振兴的工作机制，加大对脱贫县乡村振兴支持力度，把脱贫攻坚期内形成的组织动员、要素保障、政策支持、协作帮扶、考核督导等一系列政策举措和机制办法借鉴应用到乡村振兴。做好金融服务政策衔接，提高对脱贫地区优势特色产业信贷和保险支持力度。落实土地支持政策衔接，新增建设用地计划指标优先保障巩固拓展脱贫攻坚成果和乡村振兴用地需要。做好领导体制、工作力量、规划实施、项目建设和考核督导的有效衔接，建立上下贯通、精准施策、一抓到底的乡村振兴工作体系，对巩固脱贫攻坚成果和乡村振兴任务重的乡村，根据需要继续选派驻村第一书记和工作队。</w:t>
      </w:r>
    </w:p>
    <w:p>
      <w:pPr>
        <w:ind w:firstLine="0" w:firstLineChars="0"/>
        <w:jc w:val="center"/>
        <w:rPr>
          <w:rFonts w:eastAsia="方正黑体_GBK"/>
          <w:bCs/>
          <w:szCs w:val="32"/>
          <w:highlight w:val="none"/>
        </w:rPr>
      </w:pPr>
      <w:r>
        <w:rPr>
          <w:rFonts w:eastAsia="方正黑体_GBK"/>
          <w:bCs/>
          <w:szCs w:val="32"/>
          <w:highlight w:val="none"/>
        </w:rPr>
        <w:t>专栏2</w:t>
      </w:r>
      <w:r>
        <w:rPr>
          <w:rFonts w:hint="eastAsia" w:eastAsia="方正黑体_GBK"/>
          <w:bCs/>
          <w:szCs w:val="32"/>
          <w:highlight w:val="none"/>
        </w:rPr>
        <w:t>8</w:t>
      </w:r>
      <w:r>
        <w:rPr>
          <w:rFonts w:eastAsia="方正黑体_GBK"/>
          <w:bCs/>
          <w:szCs w:val="32"/>
          <w:highlight w:val="none"/>
        </w:rPr>
        <w:t xml:space="preserve">  巩固拓展脱贫攻坚成果同乡村振兴有机衔接重点项目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60"/>
              <w:jc w:val="left"/>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产业扶贫：</w:t>
            </w:r>
            <w:r>
              <w:rPr>
                <w:rFonts w:eastAsia="方正楷体_GBK"/>
                <w:sz w:val="28"/>
                <w:szCs w:val="28"/>
                <w:highlight w:val="none"/>
              </w:rPr>
              <w:t>结合国家“精准扶贫”工程，持续增强扶贫产业发展效益，在大竹县、开江县、宣汉县、通川区等县（区）脱贫村内，大力支持发展稻渔综合种养；在万源、宣汉冷水资源丰富的脱贫村，支持发展冷水鱼产业；在各县（市、区）宜鱼水面，支持脱贫村发展循环水产健康养殖。</w:t>
            </w:r>
          </w:p>
          <w:p>
            <w:pPr>
              <w:spacing w:line="500" w:lineRule="exact"/>
              <w:ind w:firstLine="560"/>
              <w:jc w:val="left"/>
              <w:rPr>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pacing w:val="-4"/>
                <w:sz w:val="28"/>
                <w:szCs w:val="28"/>
                <w:highlight w:val="none"/>
              </w:rPr>
              <w:t>乡村振兴重点帮扶工程：</w:t>
            </w:r>
            <w:r>
              <w:rPr>
                <w:rFonts w:eastAsia="方正楷体_GBK"/>
                <w:spacing w:val="-4"/>
                <w:sz w:val="28"/>
                <w:szCs w:val="28"/>
                <w:highlight w:val="none"/>
              </w:rPr>
              <w:t>选择确定一批发展水平整体较低、巩固拓展脱贫攻坚成果任务较重的乡村振兴重点帮扶村，增强其巩固拓展脱贫攻坚成果及推进乡村振兴内生发展动力。推进建设县（市、区）级乡村振兴重点帮扶村</w:t>
            </w:r>
            <w:r>
              <w:rPr>
                <w:rFonts w:eastAsia="方正楷体_GBK"/>
                <w:kern w:val="0"/>
                <w:sz w:val="28"/>
                <w:szCs w:val="28"/>
                <w:highlight w:val="none"/>
              </w:rPr>
              <w:t>**</w:t>
            </w:r>
            <w:r>
              <w:rPr>
                <w:rFonts w:eastAsia="方正楷体_GBK"/>
                <w:spacing w:val="-4"/>
                <w:sz w:val="28"/>
                <w:szCs w:val="28"/>
                <w:highlight w:val="none"/>
              </w:rPr>
              <w:t>个。</w:t>
            </w:r>
          </w:p>
        </w:tc>
      </w:tr>
    </w:tbl>
    <w:p>
      <w:pPr>
        <w:ind w:firstLine="72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p>
    <w:p>
      <w:pPr>
        <w:ind w:firstLine="720"/>
        <w:jc w:val="center"/>
        <w:outlineLvl w:val="0"/>
        <w:rPr>
          <w:rFonts w:eastAsia="方正小标宋简体"/>
          <w:bCs/>
          <w:kern w:val="44"/>
          <w:sz w:val="36"/>
          <w:szCs w:val="44"/>
          <w:highlight w:val="none"/>
        </w:rPr>
      </w:pPr>
      <w:bookmarkStart w:id="170" w:name="_Toc73979896"/>
      <w:r>
        <w:rPr>
          <w:rFonts w:eastAsia="方正小标宋简体"/>
          <w:bCs/>
          <w:kern w:val="44"/>
          <w:sz w:val="36"/>
          <w:szCs w:val="44"/>
          <w:highlight w:val="none"/>
        </w:rPr>
        <w:t>第六篇  改革开放  持续增强发展动能</w:t>
      </w:r>
      <w:bookmarkEnd w:id="165"/>
      <w:bookmarkEnd w:id="170"/>
    </w:p>
    <w:p>
      <w:pPr>
        <w:ind w:firstLine="640"/>
        <w:rPr>
          <w:szCs w:val="32"/>
          <w:highlight w:val="none"/>
        </w:rPr>
      </w:pPr>
      <w:r>
        <w:rPr>
          <w:szCs w:val="32"/>
          <w:highlight w:val="none"/>
        </w:rPr>
        <w:t>全面深化农业农村改革，推动城乡要素双向流动、合理配置，全力增强农业农村发展活力。推动巩固拓展脱贫攻坚成果同乡村振兴有效衔接，确保共同富裕取得更为明显的实质性进展。加快推进区域协同发展，全力建设万达开川渝统筹发展示范区，稳步提升农业开放合作水平。</w:t>
      </w:r>
    </w:p>
    <w:p>
      <w:pPr>
        <w:ind w:firstLine="0" w:firstLineChars="0"/>
        <w:jc w:val="center"/>
        <w:outlineLvl w:val="1"/>
        <w:rPr>
          <w:rFonts w:eastAsia="方正黑体_GBK"/>
          <w:bCs/>
          <w:szCs w:val="32"/>
          <w:highlight w:val="none"/>
        </w:rPr>
      </w:pPr>
      <w:bookmarkStart w:id="171" w:name="_Toc73979897"/>
      <w:bookmarkStart w:id="172" w:name="_Toc72746678"/>
      <w:r>
        <w:rPr>
          <w:rFonts w:eastAsia="方正黑体_GBK"/>
          <w:bCs/>
          <w:szCs w:val="32"/>
          <w:highlight w:val="none"/>
        </w:rPr>
        <w:t>第一章  深化改革  激发农村发展内生动力</w:t>
      </w:r>
      <w:bookmarkEnd w:id="171"/>
      <w:bookmarkEnd w:id="172"/>
    </w:p>
    <w:p>
      <w:pPr>
        <w:pStyle w:val="5"/>
        <w:rPr>
          <w:rFonts w:ascii="Times New Roman"/>
          <w:highlight w:val="none"/>
        </w:rPr>
      </w:pPr>
      <w:bookmarkStart w:id="173" w:name="_Toc72746679"/>
      <w:bookmarkStart w:id="174" w:name="_Toc73979898"/>
      <w:r>
        <w:rPr>
          <w:rFonts w:ascii="Times New Roman"/>
          <w:highlight w:val="none"/>
        </w:rPr>
        <w:t>第一节  深化农村集体产权制度改革</w:t>
      </w:r>
      <w:bookmarkEnd w:id="173"/>
      <w:bookmarkEnd w:id="174"/>
    </w:p>
    <w:p>
      <w:pPr>
        <w:ind w:firstLine="640"/>
        <w:rPr>
          <w:color w:val="333333"/>
          <w:highlight w:val="none"/>
          <w:shd w:val="clear" w:color="auto" w:fill="FFFFFF"/>
        </w:rPr>
      </w:pPr>
      <w:r>
        <w:rPr>
          <w:rFonts w:hint="eastAsia"/>
          <w:highlight w:val="none"/>
          <w:shd w:val="clear" w:color="auto" w:fill="FFFFFF"/>
        </w:rPr>
        <w:t>深入</w:t>
      </w:r>
      <w:r>
        <w:rPr>
          <w:highlight w:val="none"/>
          <w:shd w:val="clear" w:color="auto" w:fill="FFFFFF"/>
        </w:rPr>
        <w:t>推进</w:t>
      </w:r>
      <w:r>
        <w:rPr>
          <w:rFonts w:hint="eastAsia"/>
          <w:highlight w:val="none"/>
          <w:shd w:val="clear" w:color="auto" w:fill="FFFFFF"/>
        </w:rPr>
        <w:t>农村集体</w:t>
      </w:r>
      <w:r>
        <w:rPr>
          <w:highlight w:val="none"/>
          <w:shd w:val="clear" w:color="auto" w:fill="FFFFFF"/>
        </w:rPr>
        <w:t>经营性资产股份合作制改革，明确农村集体资产所有权。全面规范农村集体经济组织，开展全面清产核资，加强集体资产监督管理，切实维护集体经济组织成员权益。建立健全集体经济运行机制，充分发挥集体经济组织管理集体资产、开发集体资源、发展集体经济、服务集体成员等作用。探索利用存量农村集体经营性资产发展农村新产业新业态，支持集体经济组织以资金入股、资源合作、混合经营等方式与各类经营主体开展合作，探索新型农村集体经济有效实现形式。把发展新型集体经济与农村承包地、宅基地和集体资产资源“三权分置”改革及扶贫资产、合并村资产盘活等结合起来，推动资源变资产、资金变股金、农民变股东。积极探索实施农村集体经营性建设用地入市制度，建立公平合理的增值收益分配机制。</w:t>
      </w:r>
    </w:p>
    <w:p>
      <w:pPr>
        <w:pStyle w:val="5"/>
        <w:rPr>
          <w:rFonts w:ascii="Times New Roman"/>
          <w:highlight w:val="none"/>
        </w:rPr>
      </w:pPr>
      <w:bookmarkStart w:id="175" w:name="_Toc73979899"/>
      <w:bookmarkStart w:id="176" w:name="_Toc72746681"/>
      <w:r>
        <w:rPr>
          <w:rFonts w:ascii="Times New Roman"/>
          <w:highlight w:val="none"/>
        </w:rPr>
        <w:t>第</w:t>
      </w:r>
      <w:r>
        <w:rPr>
          <w:rFonts w:hint="eastAsia" w:ascii="Times New Roman"/>
          <w:highlight w:val="none"/>
        </w:rPr>
        <w:t>二</w:t>
      </w:r>
      <w:r>
        <w:rPr>
          <w:rFonts w:ascii="Times New Roman"/>
          <w:highlight w:val="none"/>
        </w:rPr>
        <w:t>节  深化农村土地制度改革</w:t>
      </w:r>
      <w:bookmarkEnd w:id="175"/>
      <w:bookmarkEnd w:id="176"/>
    </w:p>
    <w:p>
      <w:pPr>
        <w:ind w:firstLine="640"/>
        <w:rPr>
          <w:highlight w:val="none"/>
        </w:rPr>
      </w:pPr>
      <w:r>
        <w:rPr>
          <w:rFonts w:hint="eastAsia"/>
          <w:highlight w:val="none"/>
          <w:shd w:val="clear" w:color="auto" w:fill="FFFFFF"/>
        </w:rPr>
        <w:t>稳步推进第二轮土地承包到期后再延长30年政策。完善土地流转市场化服务体系和风险防范机制，推动承包土地经营权规范有序流转，推进多种形式的适度规模经营，切实加强土地承包经营纠纷调解仲裁能力建设。</w:t>
      </w:r>
      <w:r>
        <w:rPr>
          <w:highlight w:val="none"/>
          <w:shd w:val="clear" w:color="auto" w:fill="FFFFFF"/>
        </w:rPr>
        <w:t>规范开展“房地一体”的宅基地确权登记颁证。加强宅基地管理，严格落实“一户一宅”规定，稳慎推进农村宅基地制度改革。积极稳妥开展农村闲置宅基地和闲置住宅盘活利用工作，保障进城落户农民土地承包权、宅基地使用权、集体收益分配权，鼓励依法自愿有偿转让，探索自愿有偿退出机制和管理办法。实行负面清单管理，优先保障乡村产业发展、乡村建设用地</w:t>
      </w:r>
      <w:r>
        <w:rPr>
          <w:highlight w:val="none"/>
        </w:rPr>
        <w:t>指标。</w:t>
      </w:r>
      <w:r>
        <w:rPr>
          <w:rFonts w:hint="eastAsia"/>
          <w:highlight w:val="none"/>
          <w:shd w:val="clear" w:color="auto" w:fill="FFFFFF"/>
        </w:rPr>
        <w:t>县乡级国土空间规划应安排不少于</w:t>
      </w:r>
      <w:r>
        <w:rPr>
          <w:rFonts w:eastAsia="方正楷体_GBK"/>
          <w:kern w:val="0"/>
          <w:sz w:val="28"/>
          <w:szCs w:val="28"/>
          <w:highlight w:val="none"/>
        </w:rPr>
        <w:t>**</w:t>
      </w:r>
      <w:r>
        <w:rPr>
          <w:rFonts w:hint="eastAsia"/>
          <w:highlight w:val="none"/>
          <w:shd w:val="clear" w:color="auto" w:fill="FFFFFF"/>
        </w:rPr>
        <w:t>%的建设用地指标，土地利用年度计划应安排至少</w:t>
      </w:r>
      <w:r>
        <w:rPr>
          <w:rFonts w:eastAsia="方正楷体_GBK"/>
          <w:kern w:val="0"/>
          <w:sz w:val="28"/>
          <w:szCs w:val="28"/>
          <w:highlight w:val="none"/>
        </w:rPr>
        <w:t>**</w:t>
      </w:r>
      <w:r>
        <w:rPr>
          <w:rFonts w:hint="eastAsia"/>
          <w:highlight w:val="none"/>
          <w:shd w:val="clear" w:color="auto" w:fill="FFFFFF"/>
        </w:rPr>
        <w:t>%的新增建设用地指标，保障乡村产业发展和村民住宅建设用地。完善</w:t>
      </w:r>
      <w:r>
        <w:rPr>
          <w:highlight w:val="none"/>
          <w:shd w:val="clear" w:color="auto" w:fill="FFFFFF"/>
        </w:rPr>
        <w:t>城乡建设用地增减挂钩</w:t>
      </w:r>
      <w:r>
        <w:rPr>
          <w:rFonts w:hint="eastAsia"/>
          <w:highlight w:val="none"/>
          <w:shd w:val="clear" w:color="auto" w:fill="FFFFFF"/>
        </w:rPr>
        <w:t>工作</w:t>
      </w:r>
      <w:r>
        <w:rPr>
          <w:highlight w:val="none"/>
          <w:shd w:val="clear" w:color="auto" w:fill="FFFFFF"/>
        </w:rPr>
        <w:t>机制。建立土地征收公共利益用地认定机制。</w:t>
      </w:r>
    </w:p>
    <w:p>
      <w:pPr>
        <w:pStyle w:val="5"/>
        <w:rPr>
          <w:rFonts w:ascii="Times New Roman"/>
          <w:highlight w:val="none"/>
        </w:rPr>
      </w:pPr>
      <w:bookmarkStart w:id="177" w:name="_Toc73979900"/>
      <w:bookmarkStart w:id="178" w:name="_Toc72746682"/>
      <w:r>
        <w:rPr>
          <w:rFonts w:ascii="Times New Roman"/>
          <w:highlight w:val="none"/>
        </w:rPr>
        <w:t>第</w:t>
      </w:r>
      <w:r>
        <w:rPr>
          <w:rFonts w:hint="eastAsia" w:ascii="Times New Roman"/>
          <w:highlight w:val="none"/>
        </w:rPr>
        <w:t>三</w:t>
      </w:r>
      <w:r>
        <w:rPr>
          <w:rFonts w:ascii="Times New Roman"/>
          <w:highlight w:val="none"/>
        </w:rPr>
        <w:t>节  做好“两项改革”“后半篇”文章</w:t>
      </w:r>
      <w:bookmarkEnd w:id="177"/>
      <w:bookmarkEnd w:id="178"/>
    </w:p>
    <w:p>
      <w:pPr>
        <w:ind w:firstLine="640"/>
        <w:rPr>
          <w:color w:val="333333"/>
          <w:highlight w:val="none"/>
          <w:shd w:val="clear" w:color="auto" w:fill="FFFFFF"/>
        </w:rPr>
      </w:pPr>
      <w:r>
        <w:rPr>
          <w:rFonts w:hint="eastAsia"/>
          <w:highlight w:val="none"/>
          <w:shd w:val="clear" w:color="auto" w:fill="FFFFFF"/>
        </w:rPr>
        <w:t>推动做好</w:t>
      </w:r>
      <w:r>
        <w:rPr>
          <w:highlight w:val="none"/>
          <w:shd w:val="clear" w:color="auto" w:fill="FFFFFF"/>
        </w:rPr>
        <w:t>乡镇</w:t>
      </w:r>
      <w:r>
        <w:rPr>
          <w:rFonts w:hint="eastAsia"/>
          <w:highlight w:val="none"/>
          <w:shd w:val="clear" w:color="auto" w:fill="FFFFFF"/>
        </w:rPr>
        <w:t>行政区划</w:t>
      </w:r>
      <w:r>
        <w:rPr>
          <w:highlight w:val="none"/>
          <w:shd w:val="clear" w:color="auto" w:fill="FFFFFF"/>
        </w:rPr>
        <w:t>和村级建制调整</w:t>
      </w:r>
      <w:r>
        <w:rPr>
          <w:rFonts w:hint="eastAsia"/>
          <w:highlight w:val="none"/>
          <w:shd w:val="clear" w:color="auto" w:fill="FFFFFF"/>
        </w:rPr>
        <w:t>改革“后半篇”文章的</w:t>
      </w:r>
      <w:r>
        <w:rPr>
          <w:rFonts w:eastAsia="方正楷体_GBK"/>
          <w:kern w:val="0"/>
          <w:sz w:val="28"/>
          <w:szCs w:val="28"/>
          <w:highlight w:val="none"/>
        </w:rPr>
        <w:t>**</w:t>
      </w:r>
      <w:r>
        <w:rPr>
          <w:rFonts w:hint="eastAsia"/>
          <w:highlight w:val="none"/>
          <w:shd w:val="clear" w:color="auto" w:fill="FFFFFF"/>
        </w:rPr>
        <w:t>个“工作方案”落地落实，切实把改革成果转化为发展红利和治理实效。顺利完成村（社区）“两委”换届、乡镇领导班子换届，建立权责一致、简约精干、务实高效的乡镇（街道）管理体制。</w:t>
      </w:r>
      <w:r>
        <w:rPr>
          <w:highlight w:val="none"/>
          <w:shd w:val="clear" w:color="auto" w:fill="FFFFFF"/>
        </w:rPr>
        <w:t>做深做实乡村特色农业产业发展、合并村集体经济融合发展试点、“美丽四川•</w:t>
      </w:r>
      <w:r>
        <w:rPr>
          <w:rFonts w:hint="eastAsia"/>
          <w:highlight w:val="none"/>
          <w:shd w:val="clear" w:color="auto" w:fill="FFFFFF"/>
        </w:rPr>
        <w:t>宜居乡村</w:t>
      </w:r>
      <w:r>
        <w:rPr>
          <w:highlight w:val="none"/>
          <w:shd w:val="clear" w:color="auto" w:fill="FFFFFF"/>
        </w:rPr>
        <w:t>”</w:t>
      </w:r>
      <w:r>
        <w:rPr>
          <w:rFonts w:hint="eastAsia"/>
          <w:highlight w:val="none"/>
          <w:shd w:val="clear" w:color="auto" w:fill="FFFFFF"/>
        </w:rPr>
        <w:t>农村人居环境整治等重点任务。继续做好农业行政综合执法体制改革，配强人员力量，加强基层防疫队伍建设。加快县域内城乡融合发展，深入推进农业转移人口在县域内就近就业落户城镇，</w:t>
      </w:r>
      <w:r>
        <w:rPr>
          <w:highlight w:val="none"/>
          <w:shd w:val="clear" w:color="auto" w:fill="FFFFFF"/>
        </w:rPr>
        <w:t>开展城乡融合发展中心镇试点工作，基本实现</w:t>
      </w:r>
      <w:r>
        <w:rPr>
          <w:rFonts w:hint="eastAsia"/>
          <w:highlight w:val="none"/>
          <w:shd w:val="clear" w:color="auto" w:fill="FFFFFF"/>
        </w:rPr>
        <w:t>“事合、人合、心合”发展格局</w:t>
      </w:r>
      <w:r>
        <w:rPr>
          <w:highlight w:val="none"/>
          <w:shd w:val="clear" w:color="auto" w:fill="FFFFFF"/>
        </w:rPr>
        <w:t>。</w:t>
      </w:r>
    </w:p>
    <w:p>
      <w:pPr>
        <w:pStyle w:val="5"/>
        <w:rPr>
          <w:rFonts w:ascii="Times New Roman"/>
          <w:highlight w:val="none"/>
        </w:rPr>
      </w:pPr>
      <w:bookmarkStart w:id="179" w:name="_Toc72746683"/>
      <w:bookmarkStart w:id="180" w:name="_Toc73979901"/>
      <w:r>
        <w:rPr>
          <w:rFonts w:ascii="Times New Roman"/>
          <w:highlight w:val="none"/>
        </w:rPr>
        <w:t>第</w:t>
      </w:r>
      <w:r>
        <w:rPr>
          <w:rFonts w:hint="eastAsia" w:ascii="Times New Roman"/>
          <w:highlight w:val="none"/>
        </w:rPr>
        <w:t>四</w:t>
      </w:r>
      <w:r>
        <w:rPr>
          <w:rFonts w:ascii="Times New Roman"/>
          <w:highlight w:val="none"/>
        </w:rPr>
        <w:t>节  优化城乡要素配置体制机制</w:t>
      </w:r>
      <w:bookmarkEnd w:id="179"/>
      <w:bookmarkEnd w:id="180"/>
    </w:p>
    <w:p>
      <w:pPr>
        <w:ind w:firstLine="640"/>
        <w:rPr>
          <w:spacing w:val="-6"/>
          <w:highlight w:val="none"/>
        </w:rPr>
      </w:pPr>
      <w:r>
        <w:rPr>
          <w:highlight w:val="none"/>
        </w:rPr>
        <w:t>建立健全有利于城乡基础设施一体化发展的体制机制，推动基础设施统一规划、统一建设、统一管护</w:t>
      </w:r>
      <w:r>
        <w:rPr>
          <w:rFonts w:hint="eastAsia"/>
          <w:highlight w:val="none"/>
        </w:rPr>
        <w:t>，</w:t>
      </w:r>
      <w:r>
        <w:rPr>
          <w:highlight w:val="none"/>
        </w:rPr>
        <w:t>优化公共服务资源布局</w:t>
      </w:r>
      <w:r>
        <w:rPr>
          <w:rFonts w:hint="eastAsia"/>
          <w:highlight w:val="none"/>
        </w:rPr>
        <w:t>，</w:t>
      </w:r>
      <w:r>
        <w:rPr>
          <w:highlight w:val="none"/>
        </w:rPr>
        <w:t>逐步形成适度均衡的新型城镇化空间格局。</w:t>
      </w:r>
      <w:r>
        <w:rPr>
          <w:spacing w:val="-6"/>
          <w:highlight w:val="none"/>
        </w:rPr>
        <w:t>建立健全城乡融合发展体制机制和政策体系，强化财政投入保障，完善乡村金融服务体系，加快打通城乡要素及资源平等交换、双向流动的制度性通道。完善户籍制度改革配套保障措施，加快农业转移人口市民化。构建完善城乡产权、供求、价格、就业机会等市场配置体系，将资源配置的重心下沉，促进发展政策、招商资源、技术转化、市场机制、金融服务等向农村延伸，激活农村经济发展活力。</w:t>
      </w:r>
    </w:p>
    <w:p>
      <w:pPr>
        <w:ind w:firstLine="0" w:firstLineChars="0"/>
        <w:jc w:val="center"/>
        <w:outlineLvl w:val="1"/>
        <w:rPr>
          <w:rFonts w:eastAsia="方正黑体_GBK"/>
          <w:bCs/>
          <w:szCs w:val="32"/>
          <w:highlight w:val="none"/>
        </w:rPr>
      </w:pPr>
      <w:bookmarkStart w:id="181" w:name="_Toc72746688"/>
      <w:bookmarkStart w:id="182" w:name="_Toc73979902"/>
      <w:r>
        <w:rPr>
          <w:rFonts w:eastAsia="方正黑体_GBK"/>
          <w:bCs/>
          <w:szCs w:val="32"/>
          <w:highlight w:val="none"/>
        </w:rPr>
        <w:t>第二章  开放合作  构建互补协同融合新格局</w:t>
      </w:r>
      <w:bookmarkEnd w:id="181"/>
      <w:bookmarkEnd w:id="182"/>
    </w:p>
    <w:p>
      <w:pPr>
        <w:pStyle w:val="5"/>
        <w:rPr>
          <w:rFonts w:ascii="Times New Roman"/>
          <w:highlight w:val="none"/>
        </w:rPr>
      </w:pPr>
      <w:bookmarkStart w:id="183" w:name="_Toc72746689"/>
      <w:bookmarkStart w:id="184" w:name="_Toc73979903"/>
      <w:r>
        <w:rPr>
          <w:rFonts w:ascii="Times New Roman"/>
          <w:highlight w:val="none"/>
        </w:rPr>
        <w:t>第一节  践行成渝双城经济圈协同发展战略</w:t>
      </w:r>
      <w:bookmarkEnd w:id="183"/>
      <w:bookmarkEnd w:id="184"/>
    </w:p>
    <w:p>
      <w:pPr>
        <w:ind w:firstLine="640"/>
        <w:rPr>
          <w:highlight w:val="none"/>
        </w:rPr>
      </w:pPr>
      <w:r>
        <w:rPr>
          <w:highlight w:val="none"/>
        </w:rPr>
        <w:t>充分利用成渝双城经济圈协同发展机遇，积极吸纳成渝资金、技术、人才、信息等高端要素，分享成渝设施平台、政策平台和功能平台，主动接受成渝功能辐射。牢固树立生态优先、绿色发展理念，积极融入国家粮油保障基地、国家生猪战略保障基地、国家优质特色产业集群和中国特色农产品优势区建设。以特色农产品为媒介，建成供应成渝的特色农产品基地。加快推进城宣万革命老区振兴发展示范区</w:t>
      </w:r>
      <w:r>
        <w:rPr>
          <w:rFonts w:hint="eastAsia"/>
          <w:highlight w:val="none"/>
        </w:rPr>
        <w:t>建设</w:t>
      </w:r>
      <w:r>
        <w:rPr>
          <w:highlight w:val="none"/>
        </w:rPr>
        <w:t>，争取国家和两省政策支持，共同争取纳入国家“十四五”特殊类型地区振兴发展规划，实现区域开发与精准扶贫协同推进，</w:t>
      </w:r>
      <w:r>
        <w:rPr>
          <w:rFonts w:hint="eastAsia"/>
          <w:highlight w:val="none"/>
        </w:rPr>
        <w:t>共同</w:t>
      </w:r>
      <w:r>
        <w:rPr>
          <w:highlight w:val="none"/>
        </w:rPr>
        <w:t>打造</w:t>
      </w:r>
      <w:r>
        <w:rPr>
          <w:rFonts w:hint="eastAsia"/>
          <w:highlight w:val="none"/>
        </w:rPr>
        <w:t>中国西部富硒农产品加工基地</w:t>
      </w:r>
      <w:r>
        <w:rPr>
          <w:highlight w:val="none"/>
        </w:rPr>
        <w:t>。</w:t>
      </w:r>
    </w:p>
    <w:p>
      <w:pPr>
        <w:pStyle w:val="5"/>
        <w:rPr>
          <w:rFonts w:ascii="Times New Roman"/>
          <w:highlight w:val="none"/>
        </w:rPr>
      </w:pPr>
      <w:bookmarkStart w:id="185" w:name="_Toc72746690"/>
      <w:bookmarkStart w:id="186" w:name="_Toc73979904"/>
      <w:r>
        <w:rPr>
          <w:rFonts w:ascii="Times New Roman"/>
          <w:highlight w:val="none"/>
        </w:rPr>
        <w:t>第二节  落实万达开川渝统筹发展示范区创建</w:t>
      </w:r>
      <w:bookmarkEnd w:id="185"/>
      <w:bookmarkEnd w:id="186"/>
    </w:p>
    <w:p>
      <w:pPr>
        <w:ind w:firstLine="640"/>
        <w:rPr>
          <w:szCs w:val="32"/>
          <w:highlight w:val="none"/>
        </w:rPr>
      </w:pPr>
      <w:r>
        <w:rPr>
          <w:highlight w:val="none"/>
        </w:rPr>
        <w:t>充分发挥万达开三地和毗邻地区各级党委政府主体作用，推动制度对接、资源共享、流通顺畅、城乡统筹和协作协同。落实建设“粮油蔬菜、生猪、茶叶、柑橘、中药材、水产等特色产业带”和“农产品品牌体系、农业科技创新平台、休闲农业与乡村旅游示范区、乡村振兴人居环境示范区”等“十大共建”任务，重点推进万达开乡村振兴示范区、乡村旅游示范区建设和成渝现代高效特色农业带合作园区试点，</w:t>
      </w:r>
      <w:r>
        <w:rPr>
          <w:szCs w:val="32"/>
          <w:highlight w:val="none"/>
        </w:rPr>
        <w:t>联手打造川东北渝东北优势产业集群，建设万达开现代农业协同发展示范区、美丽宜居乡村示范带、川渝乡村振兴示样板区。推进共建明月山绿色发展示范带，</w:t>
      </w:r>
      <w:r>
        <w:rPr>
          <w:highlight w:val="none"/>
        </w:rPr>
        <w:t>打造国家农业绿色发展先行区、三峡库区生态优先绿色发展示范区、农业面源污染综合治理示范区，建设华蓥山、明月山、铜锣山三条平行岭谷绿廊，打造明月山践行“两山论”样板地。推进共建城宣万革命老区振兴发展示范区，做大做强富硒茶、中药材、脆李、旧院黑鸡等区域性特色农林牧产业，共同打造西部现代山地特色高效农业产业集群。</w:t>
      </w:r>
    </w:p>
    <w:p>
      <w:pPr>
        <w:pStyle w:val="5"/>
        <w:rPr>
          <w:rFonts w:ascii="Times New Roman"/>
          <w:highlight w:val="none"/>
        </w:rPr>
      </w:pPr>
      <w:bookmarkStart w:id="187" w:name="_Toc59804158"/>
      <w:bookmarkStart w:id="188" w:name="_Toc73979905"/>
      <w:bookmarkStart w:id="189" w:name="_Toc72746691"/>
      <w:r>
        <w:rPr>
          <w:rFonts w:ascii="Times New Roman"/>
          <w:highlight w:val="none"/>
        </w:rPr>
        <w:t xml:space="preserve">第三节  </w:t>
      </w:r>
      <w:bookmarkEnd w:id="187"/>
      <w:r>
        <w:rPr>
          <w:rFonts w:ascii="Times New Roman"/>
          <w:highlight w:val="none"/>
        </w:rPr>
        <w:t>创新推动农业更高水平开放合作</w:t>
      </w:r>
      <w:bookmarkEnd w:id="188"/>
      <w:bookmarkEnd w:id="189"/>
    </w:p>
    <w:p>
      <w:pPr>
        <w:ind w:firstLine="640"/>
        <w:rPr>
          <w:szCs w:val="32"/>
          <w:highlight w:val="none"/>
        </w:rPr>
      </w:pPr>
      <w:r>
        <w:rPr>
          <w:szCs w:val="32"/>
          <w:highlight w:val="none"/>
        </w:rPr>
        <w:t>积极拓展农业对外交流合作领域，加强与“一带一路”国家农业交流合作，加大达州市农产品出口主体培育力度</w:t>
      </w:r>
      <w:r>
        <w:rPr>
          <w:rFonts w:hint="eastAsia"/>
          <w:szCs w:val="32"/>
          <w:highlight w:val="none"/>
        </w:rPr>
        <w:t>，培育一批农产品出口龙头企业</w:t>
      </w:r>
      <w:r>
        <w:rPr>
          <w:szCs w:val="32"/>
          <w:highlight w:val="none"/>
        </w:rPr>
        <w:t>。充分发挥四川东向开放门户功能，依托西部陆海新通道、“蓉欧”班列达州组货基地、东盟冷链（秦巴）分拨中心等平台，推动达州农业“走出去”“引进来”。推进跨境电商新业态发展，促进达州农耕文化传播与农产品出口，积极创建特色农产品出口示范基地和农产品出口示范县。积极参加中国西部博览会、中国西部（重庆）国家农产品交易会和四川农业博览会（中国天府农业博览园），扩大达州市农业农村发展影响力。</w:t>
      </w:r>
    </w:p>
    <w:p>
      <w:pPr>
        <w:ind w:firstLine="0" w:firstLineChars="0"/>
        <w:jc w:val="center"/>
        <w:rPr>
          <w:rFonts w:eastAsia="方正黑体_GBK"/>
          <w:bCs/>
          <w:color w:val="FF0000"/>
          <w:szCs w:val="32"/>
          <w:highlight w:val="none"/>
        </w:rPr>
      </w:pPr>
      <w:r>
        <w:rPr>
          <w:rFonts w:eastAsia="方正黑体_GBK"/>
          <w:bCs/>
          <w:szCs w:val="32"/>
          <w:highlight w:val="none"/>
        </w:rPr>
        <w:t>专栏</w:t>
      </w:r>
      <w:r>
        <w:rPr>
          <w:rFonts w:hint="eastAsia" w:eastAsia="方正黑体_GBK"/>
          <w:bCs/>
          <w:szCs w:val="32"/>
          <w:highlight w:val="none"/>
        </w:rPr>
        <w:t>29</w:t>
      </w:r>
      <w:r>
        <w:rPr>
          <w:rFonts w:eastAsia="方正黑体_GBK"/>
          <w:bCs/>
          <w:szCs w:val="32"/>
          <w:highlight w:val="none"/>
        </w:rPr>
        <w:t xml:space="preserve">  改革开放重点项目</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552"/>
              <w:rPr>
                <w:rFonts w:eastAsia="宋体"/>
                <w:bCs/>
                <w:snapToGrid w:val="0"/>
                <w:color w:val="000000"/>
                <w:spacing w:val="-2"/>
                <w:kern w:val="0"/>
                <w:sz w:val="28"/>
                <w:szCs w:val="28"/>
                <w:highlight w:val="none"/>
              </w:rPr>
            </w:pPr>
            <w:r>
              <w:rPr>
                <w:rFonts w:cs="Cambria Math" w:asciiTheme="majorEastAsia" w:hAnsiTheme="majorEastAsia" w:eastAsiaTheme="majorEastAsia"/>
                <w:spacing w:val="-2"/>
                <w:sz w:val="28"/>
                <w:szCs w:val="28"/>
                <w:highlight w:val="none"/>
              </w:rPr>
              <w:t>◆</w:t>
            </w:r>
            <w:r>
              <w:rPr>
                <w:rFonts w:hint="eastAsia" w:eastAsia="方正黑体_GBK"/>
                <w:spacing w:val="-2"/>
                <w:sz w:val="28"/>
                <w:szCs w:val="28"/>
                <w:highlight w:val="none"/>
              </w:rPr>
              <w:t>农业农村</w:t>
            </w:r>
            <w:r>
              <w:rPr>
                <w:rFonts w:eastAsia="方正黑体_GBK"/>
                <w:spacing w:val="-2"/>
                <w:sz w:val="28"/>
                <w:szCs w:val="28"/>
                <w:highlight w:val="none"/>
              </w:rPr>
              <w:t>改革：</w:t>
            </w:r>
            <w:r>
              <w:rPr>
                <w:rFonts w:eastAsia="方正楷体_GBK"/>
                <w:spacing w:val="-2"/>
                <w:sz w:val="28"/>
                <w:szCs w:val="28"/>
                <w:highlight w:val="none"/>
              </w:rPr>
              <w:t>支持一批合并村开展集体经济融合发展试点。</w:t>
            </w:r>
            <w:r>
              <w:rPr>
                <w:rFonts w:hint="eastAsia" w:eastAsia="方正楷体_GBK"/>
                <w:spacing w:val="-2"/>
                <w:sz w:val="28"/>
                <w:szCs w:val="28"/>
                <w:highlight w:val="none"/>
              </w:rPr>
              <w:t>探索土地经营权抵押贷款、土地经营权入股农业产业化经营等试点。加强农村产权流转交易和管理信息网络平台建设。探索宅基地所有权、使用权分置有效实现形式。深入开展省级百强中心镇培育工作，建成一批农业强镇、特色乡镇和特色村。深入推进开江县域集成改革试点，助推开江加快建成达州东出北上、联动渝万对外开放合作门户城市和综合交通枢纽重要节点。</w:t>
            </w:r>
          </w:p>
          <w:p>
            <w:pPr>
              <w:spacing w:line="500" w:lineRule="exact"/>
              <w:ind w:firstLine="560"/>
              <w:rPr>
                <w:rFonts w:eastAsia="宋体"/>
                <w:bCs/>
                <w:snapToGrid w:val="0"/>
                <w:color w:val="000000"/>
                <w:kern w:val="0"/>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万达开乡村振兴示范区</w:t>
            </w:r>
            <w:r>
              <w:rPr>
                <w:rFonts w:eastAsia="宋体"/>
                <w:bCs/>
                <w:snapToGrid w:val="0"/>
                <w:color w:val="000000"/>
                <w:kern w:val="0"/>
                <w:sz w:val="28"/>
                <w:szCs w:val="28"/>
                <w:highlight w:val="none"/>
              </w:rPr>
              <w:t>：</w:t>
            </w:r>
            <w:bookmarkStart w:id="190" w:name="_Hlk73367176"/>
            <w:r>
              <w:rPr>
                <w:rFonts w:hint="eastAsia" w:eastAsia="方正楷体_GBK"/>
                <w:sz w:val="28"/>
                <w:szCs w:val="28"/>
                <w:highlight w:val="none"/>
              </w:rPr>
              <w:t>按照“一区三片六带”总体布局，推进万州区、开州区、开江县毗邻地区</w:t>
            </w:r>
            <w:r>
              <w:rPr>
                <w:rFonts w:eastAsia="方正楷体_GBK"/>
                <w:kern w:val="0"/>
                <w:sz w:val="28"/>
                <w:szCs w:val="28"/>
                <w:highlight w:val="none"/>
              </w:rPr>
              <w:t>**</w:t>
            </w:r>
            <w:r>
              <w:rPr>
                <w:rFonts w:hint="eastAsia" w:eastAsia="方正楷体_GBK"/>
                <w:sz w:val="28"/>
                <w:szCs w:val="28"/>
                <w:highlight w:val="none"/>
              </w:rPr>
              <w:t>个重点乡镇建设乡村振兴综合示范区；推进开州区、宣汉县、万源市</w:t>
            </w:r>
            <w:r>
              <w:rPr>
                <w:rFonts w:eastAsia="方正楷体_GBK"/>
                <w:kern w:val="0"/>
                <w:sz w:val="28"/>
                <w:szCs w:val="28"/>
                <w:highlight w:val="none"/>
              </w:rPr>
              <w:t>**</w:t>
            </w:r>
            <w:r>
              <w:rPr>
                <w:rFonts w:hint="eastAsia" w:eastAsia="方正楷体_GBK"/>
                <w:sz w:val="28"/>
                <w:szCs w:val="28"/>
                <w:highlight w:val="none"/>
              </w:rPr>
              <w:t>个重点乡镇建设高山康养旅游示范片、万州区</w:t>
            </w:r>
            <w:r>
              <w:rPr>
                <w:rFonts w:eastAsia="方正楷体_GBK"/>
                <w:kern w:val="0"/>
                <w:sz w:val="28"/>
                <w:szCs w:val="28"/>
                <w:highlight w:val="none"/>
              </w:rPr>
              <w:t>**</w:t>
            </w:r>
            <w:r>
              <w:rPr>
                <w:rFonts w:hint="eastAsia" w:eastAsia="方正楷体_GBK"/>
                <w:sz w:val="28"/>
                <w:szCs w:val="28"/>
                <w:highlight w:val="none"/>
              </w:rPr>
              <w:t>个重点乡镇建设产业融合发展示范片，通川区、达川区、大竹县、渠县</w:t>
            </w:r>
            <w:r>
              <w:rPr>
                <w:rFonts w:eastAsia="方正楷体_GBK"/>
                <w:kern w:val="0"/>
                <w:sz w:val="28"/>
                <w:szCs w:val="28"/>
                <w:highlight w:val="none"/>
              </w:rPr>
              <w:t>**</w:t>
            </w:r>
            <w:r>
              <w:rPr>
                <w:rFonts w:hint="eastAsia" w:eastAsia="方正楷体_GBK"/>
                <w:sz w:val="28"/>
                <w:szCs w:val="28"/>
                <w:highlight w:val="none"/>
              </w:rPr>
              <w:t>个重点乡镇建设现代农业先导示范片；推进万州区、达州市、开州区建设优质粮油、生猪、晚熟柑橘、道地中药材、生态茶叶、乡村旅游等六大优势特色产业带。到2025年，万达开乡村振兴示范区基本建成。</w:t>
            </w:r>
            <w:bookmarkEnd w:id="190"/>
          </w:p>
          <w:p>
            <w:pPr>
              <w:spacing w:line="500" w:lineRule="exact"/>
              <w:ind w:firstLine="560"/>
              <w:rPr>
                <w:rFonts w:eastAsia="方正楷体_GBK"/>
                <w:sz w:val="28"/>
                <w:szCs w:val="28"/>
                <w:highlight w:val="none"/>
              </w:rPr>
            </w:pPr>
            <w:r>
              <w:rPr>
                <w:rFonts w:cs="Cambria Math" w:asciiTheme="majorEastAsia" w:hAnsiTheme="majorEastAsia" w:eastAsiaTheme="majorEastAsia"/>
                <w:sz w:val="28"/>
                <w:szCs w:val="28"/>
                <w:highlight w:val="none"/>
              </w:rPr>
              <w:t>◆</w:t>
            </w:r>
            <w:r>
              <w:rPr>
                <w:rFonts w:eastAsia="方正黑体_GBK"/>
                <w:sz w:val="28"/>
                <w:szCs w:val="28"/>
                <w:highlight w:val="none"/>
              </w:rPr>
              <w:t>万达开乡村旅游示范区</w:t>
            </w:r>
            <w:r>
              <w:rPr>
                <w:rFonts w:eastAsia="宋体"/>
                <w:bCs/>
                <w:snapToGrid w:val="0"/>
                <w:color w:val="000000"/>
                <w:kern w:val="0"/>
                <w:sz w:val="28"/>
                <w:szCs w:val="28"/>
                <w:highlight w:val="none"/>
              </w:rPr>
              <w:t>：</w:t>
            </w:r>
            <w:r>
              <w:rPr>
                <w:rFonts w:eastAsia="方正楷体_GBK"/>
                <w:sz w:val="28"/>
                <w:szCs w:val="28"/>
                <w:highlight w:val="none"/>
              </w:rPr>
              <w:t>共同成立</w:t>
            </w:r>
            <w:r>
              <w:rPr>
                <w:rFonts w:hint="eastAsia" w:eastAsia="方正楷体_GBK"/>
                <w:sz w:val="28"/>
                <w:szCs w:val="28"/>
                <w:highlight w:val="none"/>
              </w:rPr>
              <w:t>乡旅联盟；共同打造“踏青赏花”浪漫游、避暑纳凉康养游、红色文化教育游、美丽乡村示范游、假期亲子出游、大巴山赏雪游等主题休闲农业旅游精品线路；联合搭建乡村旅游平台，开发乡村旅游产品，打造乡村旅游品牌。到2025年，休闲农业年接待游客达到</w:t>
            </w:r>
            <w:r>
              <w:rPr>
                <w:rFonts w:eastAsia="方正楷体_GBK"/>
                <w:kern w:val="0"/>
                <w:sz w:val="28"/>
                <w:szCs w:val="28"/>
                <w:highlight w:val="none"/>
              </w:rPr>
              <w:t>**</w:t>
            </w:r>
            <w:r>
              <w:rPr>
                <w:rFonts w:hint="eastAsia" w:eastAsia="方正楷体_GBK"/>
                <w:sz w:val="28"/>
                <w:szCs w:val="28"/>
                <w:highlight w:val="none"/>
              </w:rPr>
              <w:t>万人次，乡村旅游综合收入达到</w:t>
            </w:r>
            <w:r>
              <w:rPr>
                <w:rFonts w:eastAsia="方正楷体_GBK"/>
                <w:kern w:val="0"/>
                <w:sz w:val="28"/>
                <w:szCs w:val="28"/>
                <w:highlight w:val="none"/>
              </w:rPr>
              <w:t>**</w:t>
            </w:r>
            <w:r>
              <w:rPr>
                <w:rFonts w:hint="eastAsia" w:eastAsia="方正楷体_GBK"/>
                <w:sz w:val="28"/>
                <w:szCs w:val="28"/>
                <w:highlight w:val="none"/>
              </w:rPr>
              <w:t>亿元以上。</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成渝现代高效特色农业带合作园区试点</w:t>
            </w:r>
            <w:r>
              <w:rPr>
                <w:rFonts w:eastAsia="宋体"/>
                <w:bCs/>
                <w:snapToGrid w:val="0"/>
                <w:color w:val="000000"/>
                <w:kern w:val="0"/>
                <w:sz w:val="28"/>
                <w:szCs w:val="28"/>
                <w:highlight w:val="none"/>
              </w:rPr>
              <w:t>：</w:t>
            </w:r>
            <w:r>
              <w:rPr>
                <w:rFonts w:eastAsia="方正楷体_GBK"/>
                <w:sz w:val="28"/>
                <w:szCs w:val="28"/>
                <w:highlight w:val="none"/>
              </w:rPr>
              <w:t>支持</w:t>
            </w:r>
            <w:r>
              <w:rPr>
                <w:rFonts w:hint="eastAsia" w:eastAsia="方正楷体_GBK"/>
                <w:sz w:val="28"/>
                <w:szCs w:val="28"/>
                <w:highlight w:val="none"/>
              </w:rPr>
              <w:t>开江县、宣汉县、大竹县、达川区、万源市等与重庆毗邻地区开展成渝现代高效特色农业带合作园区试点建设，打造农业合作园区样板。</w:t>
            </w:r>
          </w:p>
          <w:p>
            <w:pPr>
              <w:spacing w:line="500" w:lineRule="exact"/>
              <w:ind w:firstLine="560"/>
              <w:rPr>
                <w:rFonts w:eastAsia="方正楷体_GBK"/>
                <w:sz w:val="28"/>
                <w:szCs w:val="28"/>
                <w:highlight w:val="none"/>
              </w:rPr>
            </w:pPr>
            <w:r>
              <w:rPr>
                <w:rFonts w:cs="Cambria Math" w:asciiTheme="majorEastAsia" w:hAnsiTheme="majorEastAsia" w:eastAsiaTheme="majorEastAsia"/>
                <w:bCs/>
                <w:snapToGrid w:val="0"/>
                <w:color w:val="000000"/>
                <w:kern w:val="0"/>
                <w:sz w:val="28"/>
                <w:szCs w:val="28"/>
                <w:highlight w:val="none"/>
              </w:rPr>
              <w:t>◆</w:t>
            </w:r>
            <w:r>
              <w:rPr>
                <w:rFonts w:eastAsia="方正黑体_GBK"/>
                <w:sz w:val="28"/>
                <w:szCs w:val="28"/>
                <w:highlight w:val="none"/>
              </w:rPr>
              <w:t>明月山绿色发展示范带</w:t>
            </w:r>
            <w:r>
              <w:rPr>
                <w:rFonts w:eastAsia="宋体"/>
                <w:bCs/>
                <w:snapToGrid w:val="0"/>
                <w:color w:val="000000"/>
                <w:kern w:val="0"/>
                <w:sz w:val="28"/>
                <w:szCs w:val="28"/>
                <w:highlight w:val="none"/>
              </w:rPr>
              <w:t>：</w:t>
            </w:r>
            <w:r>
              <w:rPr>
                <w:rFonts w:eastAsia="方正楷体_GBK"/>
                <w:sz w:val="28"/>
                <w:szCs w:val="28"/>
                <w:highlight w:val="none"/>
              </w:rPr>
              <w:t>支持</w:t>
            </w:r>
            <w:r>
              <w:rPr>
                <w:rFonts w:hint="eastAsia" w:eastAsia="方正楷体_GBK"/>
                <w:sz w:val="28"/>
                <w:szCs w:val="28"/>
                <w:highlight w:val="none"/>
              </w:rPr>
              <w:t>达川区、大竹县、开江县与梁平区、垫江县、邻水县共同建设明月山森林城市群和生物多样性功能区，共同打造明月山精品民宿群、明月山森林康养示范带、明月山竹木家具产业园，共同建设明月山绿色食品加工产业园区，共同创建明月山国家农业高新技术产业示范区、国家现代农业产业园，共同打造明月山乡村振兴培训基地</w:t>
            </w:r>
            <w:r>
              <w:rPr>
                <w:rFonts w:eastAsia="方正楷体_GBK"/>
                <w:sz w:val="28"/>
                <w:szCs w:val="28"/>
                <w:highlight w:val="none"/>
              </w:rPr>
              <w:t>。</w:t>
            </w:r>
          </w:p>
          <w:p>
            <w:pPr>
              <w:pStyle w:val="2"/>
              <w:spacing w:line="500" w:lineRule="exact"/>
              <w:ind w:firstLine="560"/>
              <w:rPr>
                <w:highlight w:val="none"/>
              </w:rPr>
            </w:pPr>
            <w:r>
              <w:rPr>
                <w:rFonts w:asciiTheme="majorEastAsia" w:hAnsiTheme="majorEastAsia" w:eastAsiaTheme="majorEastAsia"/>
                <w:bCs w:val="0"/>
                <w:snapToGrid w:val="0"/>
                <w:color w:val="auto"/>
                <w:sz w:val="28"/>
                <w:szCs w:val="28"/>
                <w:highlight w:val="none"/>
              </w:rPr>
              <w:t>◆</w:t>
            </w:r>
            <w:r>
              <w:rPr>
                <w:rFonts w:hint="eastAsia" w:eastAsia="方正黑体_GBK"/>
                <w:color w:val="auto"/>
                <w:sz w:val="28"/>
                <w:szCs w:val="28"/>
                <w:highlight w:val="none"/>
              </w:rPr>
              <w:t>城宣万革命老区振兴发展示范区：</w:t>
            </w:r>
            <w:r>
              <w:rPr>
                <w:rFonts w:hint="eastAsia" w:eastAsia="方正楷体_GBK"/>
                <w:color w:val="auto"/>
                <w:sz w:val="28"/>
                <w:szCs w:val="28"/>
                <w:highlight w:val="none"/>
              </w:rPr>
              <w:t>支持宣汉县、万源市与城口县共同培育发展绿色生态富硒、山地特色高效农业，共同推动乡村旅游协作发展，共同推动打造西部现代山地特色高效农业产业集群。</w:t>
            </w:r>
          </w:p>
        </w:tc>
      </w:tr>
    </w:tbl>
    <w:p>
      <w:pPr>
        <w:ind w:firstLine="0" w:firstLineChars="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bookmarkStart w:id="191" w:name="_Toc72746692"/>
    </w:p>
    <w:p>
      <w:pPr>
        <w:ind w:firstLine="0" w:firstLineChars="0"/>
        <w:jc w:val="center"/>
        <w:outlineLvl w:val="0"/>
        <w:rPr>
          <w:rFonts w:eastAsia="方正小标宋简体"/>
          <w:bCs/>
          <w:kern w:val="44"/>
          <w:sz w:val="36"/>
          <w:szCs w:val="44"/>
          <w:highlight w:val="none"/>
        </w:rPr>
      </w:pPr>
      <w:bookmarkStart w:id="192" w:name="_Toc73979906"/>
      <w:r>
        <w:rPr>
          <w:rFonts w:eastAsia="方正小标宋简体"/>
          <w:bCs/>
          <w:kern w:val="44"/>
          <w:sz w:val="36"/>
          <w:szCs w:val="44"/>
          <w:highlight w:val="none"/>
        </w:rPr>
        <w:t>第七篇  强化保障  全力推动规划落地</w:t>
      </w:r>
      <w:bookmarkEnd w:id="191"/>
      <w:bookmarkEnd w:id="192"/>
    </w:p>
    <w:p>
      <w:pPr>
        <w:ind w:firstLine="640"/>
        <w:rPr>
          <w:szCs w:val="32"/>
          <w:highlight w:val="none"/>
        </w:rPr>
      </w:pPr>
      <w:bookmarkStart w:id="193" w:name="_Toc59804165"/>
      <w:bookmarkStart w:id="194" w:name="_Toc72746693"/>
      <w:r>
        <w:rPr>
          <w:szCs w:val="32"/>
          <w:highlight w:val="none"/>
        </w:rPr>
        <w:t>加强党对“三农”工作的领导，建立健全农业农村工作机制制度，明确各级党委政府和市级有关部门职责，落实规划实绩考核并做好结果应用，提高规划实施的政策、资金等保障水平，确保规划各项任务加快推进、主要目标顺利实现。</w:t>
      </w:r>
    </w:p>
    <w:p>
      <w:pPr>
        <w:ind w:firstLine="0" w:firstLineChars="0"/>
        <w:jc w:val="center"/>
        <w:outlineLvl w:val="1"/>
        <w:rPr>
          <w:rFonts w:eastAsia="方正黑体_GBK"/>
          <w:bCs/>
          <w:szCs w:val="32"/>
          <w:highlight w:val="none"/>
        </w:rPr>
      </w:pPr>
      <w:bookmarkStart w:id="195" w:name="_Toc73979907"/>
      <w:r>
        <w:rPr>
          <w:rFonts w:eastAsia="方正黑体_GBK"/>
          <w:bCs/>
          <w:szCs w:val="32"/>
          <w:highlight w:val="none"/>
        </w:rPr>
        <w:t xml:space="preserve">第一章  </w:t>
      </w:r>
      <w:bookmarkEnd w:id="193"/>
      <w:r>
        <w:rPr>
          <w:rFonts w:eastAsia="方正黑体_GBK"/>
          <w:bCs/>
          <w:szCs w:val="32"/>
          <w:highlight w:val="none"/>
        </w:rPr>
        <w:t>加强党对“三农”工作的领导</w:t>
      </w:r>
      <w:bookmarkEnd w:id="194"/>
      <w:bookmarkEnd w:id="195"/>
    </w:p>
    <w:p>
      <w:pPr>
        <w:ind w:firstLine="640"/>
        <w:rPr>
          <w:szCs w:val="32"/>
          <w:highlight w:val="none"/>
        </w:rPr>
      </w:pPr>
      <w:r>
        <w:rPr>
          <w:szCs w:val="32"/>
          <w:highlight w:val="none"/>
        </w:rPr>
        <w:t>深入贯彻落实《中国共产党农村工作条例》《中华人民共和国乡村振兴促进法》《四川省贯彻落实〈中国共产党农村工作条例〉实施办法》，坚持稳中求进工作总基调，贯彻新发展理念，落实高质量发展要求，以实施乡村振兴战略为总抓手，健全党领导农村工作的组织体系、制度体系和工作机制，加快推进农业农村现代化。全面实行县级党委、政府主要负责人和农村基层党组织书记抓乡村振兴责任制。实行县（市、区）党政和市直部门（单位）领导班子领导干部推进乡村振兴战略实绩考核，将考核结果作为干部选拔任用、评先奖优、问责追责的重要参考。强化乡村振兴督查，创新完善督查方式，建立常态化约谈机制，推进政策举措落地落实。</w:t>
      </w:r>
      <w:bookmarkStart w:id="196" w:name="_Toc59804161"/>
      <w:bookmarkStart w:id="197" w:name="_Toc72746694"/>
    </w:p>
    <w:p>
      <w:pPr>
        <w:ind w:firstLine="0" w:firstLineChars="0"/>
        <w:jc w:val="center"/>
        <w:outlineLvl w:val="1"/>
        <w:rPr>
          <w:rFonts w:eastAsia="方正黑体_GBK"/>
          <w:bCs/>
          <w:szCs w:val="32"/>
          <w:highlight w:val="none"/>
        </w:rPr>
      </w:pPr>
      <w:bookmarkStart w:id="198" w:name="_Toc73979908"/>
      <w:r>
        <w:rPr>
          <w:rFonts w:eastAsia="方正黑体_GBK"/>
          <w:bCs/>
          <w:szCs w:val="32"/>
          <w:highlight w:val="none"/>
        </w:rPr>
        <w:t>第二章  建立完备规划体系</w:t>
      </w:r>
      <w:bookmarkEnd w:id="196"/>
      <w:bookmarkEnd w:id="197"/>
      <w:bookmarkEnd w:id="198"/>
    </w:p>
    <w:p>
      <w:pPr>
        <w:ind w:firstLine="640"/>
        <w:rPr>
          <w:szCs w:val="32"/>
          <w:highlight w:val="none"/>
        </w:rPr>
      </w:pPr>
      <w:r>
        <w:rPr>
          <w:highlight w:val="none"/>
        </w:rPr>
        <w:t>进一步增强规划</w:t>
      </w:r>
      <w:r>
        <w:rPr>
          <w:rFonts w:hint="eastAsia"/>
          <w:highlight w:val="none"/>
        </w:rPr>
        <w:t>体系的</w:t>
      </w:r>
      <w:r>
        <w:rPr>
          <w:highlight w:val="none"/>
        </w:rPr>
        <w:t>系统性，积极对接《四川省“十四五”推进农业农村现代化规划》，以《达州市国民经济和社会发展第十四个五年规划和二〇三五年远景目标纲要》为统领，以专项规划、区县规划为支撑，有条件的乡（镇）、村庄完善规划体系，构建形成定位准确、目标明确、功能互补、统一衔接的达州市农业农村</w:t>
      </w:r>
      <w:r>
        <w:rPr>
          <w:rFonts w:hint="eastAsia"/>
          <w:highlight w:val="none"/>
        </w:rPr>
        <w:t>现代化</w:t>
      </w:r>
      <w:r>
        <w:rPr>
          <w:highlight w:val="none"/>
        </w:rPr>
        <w:t>发展的规划体系，加强各类规划之间的系统衔接和统筹管理，实现多规合一。充分发挥规划引领作用，各市</w:t>
      </w:r>
      <w:r>
        <w:rPr>
          <w:rFonts w:hint="eastAsia"/>
          <w:highlight w:val="none"/>
        </w:rPr>
        <w:t>直</w:t>
      </w:r>
      <w:r>
        <w:rPr>
          <w:highlight w:val="none"/>
        </w:rPr>
        <w:t>部门和县（市、区）党委政府明确工作分工，完善工作机制，研究制定年度工作计划，落实工作责任，把规划确定的各项任务落到实处，加快推进农业农村现代化发展步伐。</w:t>
      </w:r>
    </w:p>
    <w:p>
      <w:pPr>
        <w:ind w:firstLine="0" w:firstLineChars="0"/>
        <w:jc w:val="center"/>
        <w:outlineLvl w:val="1"/>
        <w:rPr>
          <w:rFonts w:eastAsia="方正黑体_GBK"/>
          <w:bCs/>
          <w:szCs w:val="32"/>
          <w:highlight w:val="none"/>
        </w:rPr>
      </w:pPr>
      <w:bookmarkStart w:id="199" w:name="_Toc72746695"/>
      <w:bookmarkStart w:id="200" w:name="_Toc59804162"/>
      <w:bookmarkStart w:id="201" w:name="_Toc73979909"/>
      <w:r>
        <w:rPr>
          <w:rFonts w:eastAsia="方正黑体_GBK"/>
          <w:bCs/>
          <w:szCs w:val="32"/>
          <w:highlight w:val="none"/>
        </w:rPr>
        <w:t>第三章  强化政策支撑引领</w:t>
      </w:r>
      <w:bookmarkEnd w:id="199"/>
      <w:bookmarkEnd w:id="200"/>
      <w:bookmarkEnd w:id="201"/>
    </w:p>
    <w:p>
      <w:pPr>
        <w:ind w:firstLine="640"/>
        <w:rPr>
          <w:szCs w:val="32"/>
          <w:highlight w:val="none"/>
        </w:rPr>
      </w:pPr>
      <w:r>
        <w:rPr>
          <w:highlight w:val="none"/>
        </w:rPr>
        <w:t>认真贯彻落实中央和四川省关于强农惠农的各项政策，重点衔接乡村振兴的各项政策支撑，充分发挥政策的激励、引领作用。制定落实提高土地出让收益用于支持农业农村比例考核措施。持续修订、整合、细化相关领域配套政策，加快健全现代农业公共服务政策体系，做好与规划目标任务的有效衔接。深入开展战略性和前瞻性研究，加强政策储备，建立健全适应新时代农业农村现代化发展的政策体系。创新管理服务，改进政策执行和落实方式，加强对农业补贴对象、种类、资金发放的监督检查，确保各类补贴政策、农业项目执行好、落实好。</w:t>
      </w:r>
    </w:p>
    <w:p>
      <w:pPr>
        <w:ind w:firstLine="0" w:firstLineChars="0"/>
        <w:jc w:val="center"/>
        <w:outlineLvl w:val="1"/>
        <w:rPr>
          <w:rFonts w:eastAsia="方正黑体_GBK"/>
          <w:bCs/>
          <w:szCs w:val="32"/>
          <w:highlight w:val="none"/>
        </w:rPr>
      </w:pPr>
      <w:bookmarkStart w:id="202" w:name="_Toc73979910"/>
      <w:bookmarkStart w:id="203" w:name="_Toc72746696"/>
      <w:bookmarkStart w:id="204" w:name="_Toc59804163"/>
      <w:r>
        <w:rPr>
          <w:rFonts w:eastAsia="方正黑体_GBK"/>
          <w:bCs/>
          <w:szCs w:val="32"/>
          <w:highlight w:val="none"/>
        </w:rPr>
        <w:t>第四章  提升资金保障能力</w:t>
      </w:r>
      <w:bookmarkEnd w:id="202"/>
      <w:bookmarkEnd w:id="203"/>
    </w:p>
    <w:p>
      <w:pPr>
        <w:ind w:firstLine="616"/>
        <w:rPr>
          <w:spacing w:val="-6"/>
          <w:highlight w:val="none"/>
        </w:rPr>
      </w:pPr>
      <w:r>
        <w:rPr>
          <w:spacing w:val="-6"/>
          <w:highlight w:val="none"/>
        </w:rPr>
        <w:t>加强与国家、省有关部门对接，最大程度地争取上级财政资金。坚持把农业农村作为一般公共预算优先保障领域，逐步完善市、县两级财政投入“三农”的稳定增长机制，积极争取农业农村专项债券发行规模。发挥财政资金“撬动”作用，支持市县以市场化方式设立乡村振兴基金。建立健全稳增长、多元化、多层次的资金投入机制，实施“万企兴万村”行动，引导工商资本、金融资本、社会力量参与，重点支持乡村产业发展。加大项目资金整合力度，优先向农业优势产业、重大项目、基础设施和公共服务短板倾斜。建立农业农村部门、金融管理部门与商业银行之间的信息共享机制，健全农村金融服务体系，完善“农贷通”运营机制。鼓励金融机构创新金融产品、提升服务水平、扩大涉农信贷规模，提升金融支持“三农”力度。逐步扩大政策性农业保险和特色农业保险，持续增强保险品种覆盖范围，建立健全农业灾害风险分担机制，发挥保险在服务乡村产业发展中的作用。</w:t>
      </w:r>
    </w:p>
    <w:p>
      <w:pPr>
        <w:ind w:firstLine="0" w:firstLineChars="0"/>
        <w:jc w:val="center"/>
        <w:outlineLvl w:val="1"/>
        <w:rPr>
          <w:rFonts w:eastAsia="方正黑体_GBK"/>
          <w:bCs/>
          <w:szCs w:val="32"/>
          <w:highlight w:val="none"/>
        </w:rPr>
      </w:pPr>
      <w:bookmarkStart w:id="205" w:name="_Toc72746697"/>
      <w:bookmarkStart w:id="206" w:name="_Toc59804164"/>
      <w:bookmarkStart w:id="207" w:name="_Toc73979911"/>
      <w:r>
        <w:rPr>
          <w:rFonts w:eastAsia="方正黑体_GBK"/>
          <w:bCs/>
          <w:szCs w:val="32"/>
          <w:highlight w:val="none"/>
        </w:rPr>
        <w:t>第五章  强化重大项目支撑</w:t>
      </w:r>
      <w:bookmarkEnd w:id="205"/>
      <w:bookmarkEnd w:id="206"/>
      <w:bookmarkEnd w:id="207"/>
    </w:p>
    <w:p>
      <w:pPr>
        <w:ind w:firstLine="640"/>
        <w:rPr>
          <w:szCs w:val="32"/>
          <w:highlight w:val="none"/>
        </w:rPr>
      </w:pPr>
      <w:r>
        <w:rPr>
          <w:highlight w:val="none"/>
        </w:rPr>
        <w:t>在农业产业发展、农村基础设施</w:t>
      </w:r>
      <w:r>
        <w:rPr>
          <w:rFonts w:hint="eastAsia"/>
          <w:highlight w:val="none"/>
        </w:rPr>
        <w:t>建设</w:t>
      </w:r>
      <w:r>
        <w:rPr>
          <w:highlight w:val="none"/>
        </w:rPr>
        <w:t>和民生事业</w:t>
      </w:r>
      <w:r>
        <w:rPr>
          <w:rFonts w:hint="eastAsia"/>
          <w:highlight w:val="none"/>
        </w:rPr>
        <w:t>发展</w:t>
      </w:r>
      <w:r>
        <w:rPr>
          <w:highlight w:val="none"/>
        </w:rPr>
        <w:t>等领域积极谋划实施一批重大项目。立足优势资源、地理环境、特色产业和中省产业政策及支持方向，定期更新储备一批具有全局性、基础性、战略性的重大项目。建立市县两级项目动态储备库，有序推进重大项目建设，形成“储备一批、开工一批、建设一批、竣工一批”的循环发展态势。完善重点项目分级管理和目标责任机制，明确责任主体和进度要求，强化一线工作推进和调度督导，加强对项目实施情况的跟踪分析，确保项目落地落实、早日见效。</w:t>
      </w:r>
    </w:p>
    <w:p>
      <w:pPr>
        <w:ind w:firstLine="0" w:firstLineChars="0"/>
        <w:jc w:val="center"/>
        <w:outlineLvl w:val="1"/>
        <w:rPr>
          <w:rFonts w:eastAsia="方正黑体_GBK"/>
          <w:bCs/>
          <w:szCs w:val="32"/>
          <w:highlight w:val="none"/>
        </w:rPr>
      </w:pPr>
      <w:bookmarkStart w:id="208" w:name="_Toc72746698"/>
      <w:bookmarkStart w:id="209" w:name="_Toc73979912"/>
      <w:r>
        <w:rPr>
          <w:rFonts w:eastAsia="方正黑体_GBK"/>
          <w:bCs/>
          <w:szCs w:val="32"/>
          <w:highlight w:val="none"/>
        </w:rPr>
        <w:t>第六章  加强规划实绩考核</w:t>
      </w:r>
      <w:bookmarkEnd w:id="208"/>
      <w:bookmarkEnd w:id="209"/>
    </w:p>
    <w:p>
      <w:pPr>
        <w:ind w:firstLine="640"/>
        <w:rPr>
          <w:highlight w:val="none"/>
        </w:rPr>
      </w:pPr>
      <w:r>
        <w:rPr>
          <w:highlight w:val="none"/>
        </w:rPr>
        <w:t>完善规划评估调整制度，建立第三方评价机制，及时开展中期评估，并根据评估情况和形势变化按需进行规划修订，探索实行年度评估和重点领域专项评估，及时把成功经验和成熟做法提炼上升为流程、制度和标准。市农业农村局要加强对规划实施的动态监测，将规划重要目标和重点任务纳入各级政府及有关部门的绩效评价考核体系，分级、分类评价各地各部门实施情况，督促各项目标任务按照时间节点和计划要求规范有序落地落实。</w:t>
      </w:r>
      <w:bookmarkEnd w:id="204"/>
      <w:r>
        <w:rPr>
          <w:highlight w:val="none"/>
        </w:rPr>
        <w:t>探索建立科学全面的农业农村现代化统计监测制度和成效评价体系，加强乡村统计工作和数据开发应用。完善规划实施的公众参与和民主监督机制，积极探索创新公众参与形式，及时公开规划实施情况，主动接受社会监督。</w:t>
      </w:r>
      <w:bookmarkStart w:id="210" w:name="_Toc72746699"/>
    </w:p>
    <w:p>
      <w:pPr>
        <w:ind w:firstLine="0" w:firstLineChars="0"/>
        <w:jc w:val="center"/>
        <w:outlineLvl w:val="0"/>
        <w:rPr>
          <w:rFonts w:eastAsia="方正小标宋简体"/>
          <w:bCs/>
          <w:kern w:val="44"/>
          <w:sz w:val="36"/>
          <w:szCs w:val="44"/>
          <w:highlight w:val="none"/>
        </w:rPr>
        <w:sectPr>
          <w:pgSz w:w="11906" w:h="16838"/>
          <w:pgMar w:top="2098" w:right="1474" w:bottom="1984" w:left="1587" w:header="851" w:footer="850" w:gutter="0"/>
          <w:pgNumType w:fmt="numberInDash"/>
          <w:cols w:space="0" w:num="1"/>
          <w:docGrid w:type="lines" w:linePitch="435" w:charSpace="0"/>
        </w:sectPr>
      </w:pPr>
    </w:p>
    <w:p>
      <w:pPr>
        <w:ind w:firstLine="0" w:firstLineChars="0"/>
        <w:jc w:val="center"/>
        <w:outlineLvl w:val="0"/>
        <w:rPr>
          <w:rFonts w:eastAsia="方正小标宋简体"/>
          <w:bCs/>
          <w:kern w:val="44"/>
          <w:sz w:val="36"/>
          <w:szCs w:val="44"/>
          <w:highlight w:val="none"/>
        </w:rPr>
      </w:pPr>
      <w:bookmarkStart w:id="211" w:name="_Toc73979913"/>
      <w:r>
        <w:rPr>
          <w:rFonts w:eastAsia="方正小标宋简体"/>
          <w:bCs/>
          <w:kern w:val="44"/>
          <w:sz w:val="36"/>
          <w:szCs w:val="44"/>
          <w:highlight w:val="none"/>
        </w:rPr>
        <w:t>第八篇  环境影响评价</w:t>
      </w:r>
      <w:bookmarkEnd w:id="210"/>
      <w:bookmarkEnd w:id="211"/>
    </w:p>
    <w:p>
      <w:pPr>
        <w:ind w:firstLine="640"/>
        <w:rPr>
          <w:highlight w:val="none"/>
        </w:rPr>
      </w:pPr>
      <w:r>
        <w:rPr>
          <w:highlight w:val="none"/>
        </w:rPr>
        <w:t>根据《中华人民共和国环境影响评价法》、《四川省环境保护条例》及达州市“十四五”规划相关工作安排等要求，《达州市“十四五”农业农村现代化规划》（以下简称《规划》）作为全市“十四五”重点专项规划，应当进行环境影响评价，故作出以下环境影响评价专章。</w:t>
      </w:r>
    </w:p>
    <w:p>
      <w:pPr>
        <w:ind w:firstLine="0" w:firstLineChars="0"/>
        <w:jc w:val="center"/>
        <w:outlineLvl w:val="1"/>
        <w:rPr>
          <w:rFonts w:eastAsia="方正黑体_GBK"/>
          <w:bCs/>
          <w:szCs w:val="32"/>
          <w:highlight w:val="none"/>
        </w:rPr>
      </w:pPr>
      <w:bookmarkStart w:id="212" w:name="_Toc72746700"/>
      <w:bookmarkStart w:id="213" w:name="_Toc73979914"/>
      <w:r>
        <w:rPr>
          <w:rFonts w:eastAsia="方正黑体_GBK"/>
          <w:bCs/>
          <w:szCs w:val="32"/>
          <w:highlight w:val="none"/>
        </w:rPr>
        <w:t>第一章  达州市农业农村环境基本现状</w:t>
      </w:r>
      <w:bookmarkEnd w:id="212"/>
      <w:bookmarkEnd w:id="213"/>
    </w:p>
    <w:p>
      <w:pPr>
        <w:ind w:firstLine="640"/>
        <w:rPr>
          <w:highlight w:val="none"/>
        </w:rPr>
      </w:pPr>
      <w:r>
        <w:rPr>
          <w:highlight w:val="none"/>
        </w:rPr>
        <w:t>达州市，地处四川东部，跨东经106°39′45″-108°32′11″和北纬30°19′40″-32°20′15″，幅员面积1.66万平方公里。达州市是国家商品粮生产基地、生猪调出大市和国家农业综合开发的重点地区，是中国苎麻之乡、中国黄花之乡、中国乌梅之乡、中国糯米之乡、中国油橄榄之都、中国富硒茶之都、中国醪糟之都。达州市境内森林覆盖率45.31%，现有国家4A级旅游景区3个、国家级自然保护区1个、国家级地质公园1个、国家级森林公园3个。</w:t>
      </w:r>
    </w:p>
    <w:p>
      <w:pPr>
        <w:ind w:firstLine="640"/>
        <w:rPr>
          <w:highlight w:val="none"/>
        </w:rPr>
      </w:pPr>
      <w:r>
        <w:rPr>
          <w:highlight w:val="none"/>
        </w:rPr>
        <w:t>根据达州市生态环境局发布的《2020年达州市环境状况公报》，2020年，达州市地表水环境质量状况评价为良好，</w:t>
      </w:r>
      <w:r>
        <w:rPr>
          <w:highlight w:val="none"/>
        </w:rPr>
        <w:t>**条河流**个监</w:t>
      </w:r>
      <w:r>
        <w:rPr>
          <w:highlight w:val="none"/>
        </w:rPr>
        <w:t>测断面中，</w:t>
      </w:r>
      <w:r>
        <w:rPr>
          <w:rFonts w:hint="eastAsia" w:ascii="宋体" w:hAnsi="宋体" w:eastAsia="宋体" w:cs="宋体"/>
          <w:highlight w:val="none"/>
        </w:rPr>
        <w:t>Ⅰ</w:t>
      </w:r>
      <w:r>
        <w:rPr>
          <w:highlight w:val="none"/>
        </w:rPr>
        <w:t>-</w:t>
      </w:r>
      <w:r>
        <w:rPr>
          <w:rFonts w:hint="eastAsia" w:ascii="宋体" w:hAnsi="宋体" w:eastAsia="宋体" w:cs="宋体"/>
          <w:highlight w:val="none"/>
        </w:rPr>
        <w:t>Ⅲ</w:t>
      </w:r>
      <w:r>
        <w:rPr>
          <w:highlight w:val="none"/>
        </w:rPr>
        <w:t>类断面达标率</w:t>
      </w:r>
      <w:r>
        <w:rPr>
          <w:highlight w:val="none"/>
        </w:rPr>
        <w:t>为**%，</w:t>
      </w:r>
      <w:r>
        <w:rPr>
          <w:highlight w:val="none"/>
        </w:rPr>
        <w:t>较上</w:t>
      </w:r>
      <w:r>
        <w:rPr>
          <w:highlight w:val="none"/>
        </w:rPr>
        <w:t>年提高**个百分</w:t>
      </w:r>
      <w:r>
        <w:rPr>
          <w:highlight w:val="none"/>
        </w:rPr>
        <w:t>点，4个国家考核断面地表水水质优良</w:t>
      </w:r>
      <w:r>
        <w:rPr>
          <w:highlight w:val="none"/>
        </w:rPr>
        <w:t>比例达**%</w:t>
      </w:r>
      <w:r>
        <w:rPr>
          <w:highlight w:val="none"/>
        </w:rPr>
        <w:t>；全市城市集中式饮用水水源地</w:t>
      </w:r>
      <w:r>
        <w:rPr>
          <w:highlight w:val="none"/>
        </w:rPr>
        <w:t>水质达标率**%</w:t>
      </w:r>
      <w:r>
        <w:rPr>
          <w:highlight w:val="none"/>
        </w:rPr>
        <w:t>，乡镇集中式饮用水水源地水质</w:t>
      </w:r>
      <w:r>
        <w:rPr>
          <w:highlight w:val="none"/>
        </w:rPr>
        <w:t>达标率为**%</w:t>
      </w:r>
      <w:r>
        <w:rPr>
          <w:highlight w:val="none"/>
        </w:rPr>
        <w:t>；环境空气质量整体优良，全市空气质量优良天数</w:t>
      </w:r>
      <w:r>
        <w:rPr>
          <w:highlight w:val="none"/>
        </w:rPr>
        <w:t>比例为**%</w:t>
      </w:r>
      <w:r>
        <w:rPr>
          <w:highlight w:val="none"/>
        </w:rPr>
        <w:t>，</w:t>
      </w:r>
      <w:r>
        <w:rPr>
          <w:rFonts w:hint="eastAsia"/>
          <w:highlight w:val="none"/>
        </w:rPr>
        <w:t>较</w:t>
      </w:r>
      <w:r>
        <w:rPr>
          <w:highlight w:val="none"/>
        </w:rPr>
        <w:t>上年</w:t>
      </w:r>
      <w:r>
        <w:rPr>
          <w:highlight w:val="none"/>
        </w:rPr>
        <w:t>提高**个百</w:t>
      </w:r>
      <w:r>
        <w:rPr>
          <w:highlight w:val="none"/>
        </w:rPr>
        <w:t>分点；降水均未出现酸雨；土壤环境质量整体保持良好，无污染事件发生；城市区域环境噪声昼间平均等</w:t>
      </w:r>
      <w:r>
        <w:rPr>
          <w:highlight w:val="none"/>
        </w:rPr>
        <w:t>效声级为**分贝</w:t>
      </w:r>
      <w:r>
        <w:rPr>
          <w:highlight w:val="none"/>
        </w:rPr>
        <w:t>，区域的声环境总体质量一般。达州市农业农村生态环境整体较为脆弱，辖区内水系发达、河流众多，易造成洪涝灾害和水污染，加之地处大巴山弧形构造中段南侧与川东新华夏系构造的复合交接部位，地形地貌以山区、丘陵为主，在汛期易发生滑坡、崩塌、泥石流等地质灾害。</w:t>
      </w:r>
    </w:p>
    <w:p>
      <w:pPr>
        <w:ind w:firstLine="0" w:firstLineChars="0"/>
        <w:jc w:val="center"/>
        <w:outlineLvl w:val="1"/>
        <w:rPr>
          <w:rFonts w:eastAsia="方正黑体_GBK"/>
          <w:bCs/>
          <w:szCs w:val="32"/>
          <w:highlight w:val="none"/>
        </w:rPr>
      </w:pPr>
      <w:bookmarkStart w:id="214" w:name="_Toc73979915"/>
      <w:bookmarkStart w:id="215" w:name="_Toc72746701"/>
      <w:r>
        <w:rPr>
          <w:rFonts w:eastAsia="方正黑体_GBK"/>
          <w:bCs/>
          <w:szCs w:val="32"/>
          <w:highlight w:val="none"/>
        </w:rPr>
        <w:t>第二章  规划实施可能造成的主要影响</w:t>
      </w:r>
      <w:bookmarkEnd w:id="214"/>
      <w:bookmarkEnd w:id="215"/>
    </w:p>
    <w:p>
      <w:pPr>
        <w:pStyle w:val="5"/>
        <w:rPr>
          <w:rFonts w:ascii="Times New Roman"/>
          <w:highlight w:val="none"/>
        </w:rPr>
      </w:pPr>
      <w:bookmarkStart w:id="216" w:name="_Toc73979916"/>
      <w:bookmarkStart w:id="217" w:name="_Toc72746702"/>
      <w:r>
        <w:rPr>
          <w:rFonts w:ascii="Times New Roman"/>
          <w:highlight w:val="none"/>
        </w:rPr>
        <w:t>第一节  与相关规划的协调性分析</w:t>
      </w:r>
      <w:bookmarkEnd w:id="216"/>
      <w:bookmarkEnd w:id="217"/>
    </w:p>
    <w:p>
      <w:pPr>
        <w:ind w:firstLine="640"/>
        <w:rPr>
          <w:highlight w:val="none"/>
        </w:rPr>
      </w:pPr>
      <w:r>
        <w:rPr>
          <w:highlight w:val="none"/>
        </w:rPr>
        <w:t>《规划》全面贯彻中央和省市优先发展农业农村，全面推进乡村振兴的精神，科学分析了“十四五”农业农村现代化发展面临的机遇与挑战，提出了“十四五”</w:t>
      </w:r>
      <w:r>
        <w:rPr>
          <w:rFonts w:hint="eastAsia"/>
          <w:highlight w:val="none"/>
        </w:rPr>
        <w:t>时期“三农”工作的发展目标、主要任务和具体措施</w:t>
      </w:r>
      <w:r>
        <w:rPr>
          <w:highlight w:val="none"/>
        </w:rPr>
        <w:t>，对加快实现全市农业农村现代化阶段性目标具有积极作用。从《规划》与相关规划的协调性来看，《规划》与《乡村振兴战略规划（2018-2022年）》、《全国乡村产业发展规划(2020-2025年)》、《四川省“十四五”推进农业农村现代化规划》（待出台）等规划进行了有效衔接，《规划》项目符合《四川省主体功能区规划》、《四川省国家重点生态功能区产业准入负面清单（第一批）（试行）》的相关要求。同时，《规划》与《达州市国民经济和社会发展第十四个五年规划和二〇三五年远景目标纲要》提出的农业农村相关目标任务保持一致，并与国土、水利、交通等领域的专项规划进行了对接，规划之间不存在矛盾和冲突。</w:t>
      </w:r>
    </w:p>
    <w:p>
      <w:pPr>
        <w:pStyle w:val="5"/>
        <w:rPr>
          <w:rFonts w:ascii="Times New Roman"/>
          <w:highlight w:val="none"/>
        </w:rPr>
      </w:pPr>
      <w:bookmarkStart w:id="218" w:name="_Toc72746703"/>
      <w:bookmarkStart w:id="219" w:name="_Toc73979917"/>
      <w:r>
        <w:rPr>
          <w:rFonts w:ascii="Times New Roman"/>
          <w:highlight w:val="none"/>
        </w:rPr>
        <w:t>第二节  规划实施后对生态环境的正面影响</w:t>
      </w:r>
      <w:bookmarkEnd w:id="218"/>
      <w:bookmarkEnd w:id="219"/>
    </w:p>
    <w:p>
      <w:pPr>
        <w:ind w:firstLine="640"/>
        <w:rPr>
          <w:highlight w:val="none"/>
        </w:rPr>
      </w:pPr>
      <w:r>
        <w:rPr>
          <w:highlight w:val="none"/>
        </w:rPr>
        <w:t>《规划》实施后，达州市优化农业产业布局</w:t>
      </w:r>
      <w:r>
        <w:rPr>
          <w:rFonts w:hint="eastAsia"/>
          <w:highlight w:val="none"/>
        </w:rPr>
        <w:t>将进一步优化</w:t>
      </w:r>
      <w:r>
        <w:rPr>
          <w:highlight w:val="none"/>
        </w:rPr>
        <w:t>，</w:t>
      </w:r>
      <w:r>
        <w:rPr>
          <w:rFonts w:hint="eastAsia"/>
          <w:highlight w:val="none"/>
        </w:rPr>
        <w:t>农业设施化、机械化、绿色化、数字化、融合化水平将大幅提升</w:t>
      </w:r>
      <w:r>
        <w:rPr>
          <w:highlight w:val="none"/>
        </w:rPr>
        <w:t>。加快建设高标准农田，持续扩大粮油、茶叶、苎麻、竹、各类蔬菜、水果及中药材的种植面积，植被覆盖率</w:t>
      </w:r>
      <w:r>
        <w:rPr>
          <w:rFonts w:hint="eastAsia"/>
          <w:highlight w:val="none"/>
        </w:rPr>
        <w:t>将进一步</w:t>
      </w:r>
      <w:r>
        <w:rPr>
          <w:highlight w:val="none"/>
        </w:rPr>
        <w:t>提高，有利于促进生态保护和修复，减少水土流失，对于涵养水分、调解区域气候，改善农业生态环境等将起到积极作用。积极开展农村厕所整治，加强污水、生活垃圾治理，深入推进绿化达州行动，强化山水田林湖草综合治理，对于全面改善农村</w:t>
      </w:r>
      <w:r>
        <w:rPr>
          <w:rFonts w:hint="eastAsia"/>
          <w:highlight w:val="none"/>
        </w:rPr>
        <w:t>人居环境和农村</w:t>
      </w:r>
      <w:r>
        <w:rPr>
          <w:highlight w:val="none"/>
        </w:rPr>
        <w:t>整体生态环境等将起到积极作用。总体而言，《规划》实施后对碳达峰目标的实现和区域环境质量改善具有积极意义。</w:t>
      </w:r>
    </w:p>
    <w:p>
      <w:pPr>
        <w:pStyle w:val="5"/>
        <w:rPr>
          <w:rFonts w:ascii="Times New Roman"/>
          <w:highlight w:val="none"/>
        </w:rPr>
      </w:pPr>
      <w:bookmarkStart w:id="220" w:name="_Toc73979918"/>
      <w:bookmarkStart w:id="221" w:name="_Toc72746704"/>
      <w:r>
        <w:rPr>
          <w:rFonts w:ascii="Times New Roman"/>
          <w:highlight w:val="none"/>
        </w:rPr>
        <w:t>第三节  规划实施后对生态环境的负面影响</w:t>
      </w:r>
      <w:bookmarkEnd w:id="220"/>
      <w:bookmarkEnd w:id="221"/>
    </w:p>
    <w:p>
      <w:pPr>
        <w:ind w:firstLine="640"/>
        <w:rPr>
          <w:highlight w:val="none"/>
        </w:rPr>
      </w:pPr>
      <w:r>
        <w:rPr>
          <w:highlight w:val="none"/>
        </w:rPr>
        <w:t>《规划》实施后，农业生产过程中</w:t>
      </w:r>
      <w:r>
        <w:rPr>
          <w:rFonts w:hint="eastAsia"/>
          <w:highlight w:val="none"/>
        </w:rPr>
        <w:t>仍将</w:t>
      </w:r>
      <w:r>
        <w:rPr>
          <w:highlight w:val="none"/>
        </w:rPr>
        <w:t>存在化肥、农药、农膜、兽药、饲料和饲料添加剂、动植物激素等投入品使用情况，伴有农业面源氨气、秸秆燃烧废气、农机废气等污染源，集约化养殖所产生的大量畜禽、水产粪便和废水可能存在未完全有效利用或无害化处置；部分项目在施工建设阶段因土地平整、区内道路建设及各类建设项目的施工，将导致开挖面裸露、地表覆盖物改变，影响山地植被，可能造成水土流失，同时伴有粉尘、噪声、施工设备排放的有害气体和固体废弃物等，一定程度上对区域土壤、水体、大气环境和人居环境造成影响。</w:t>
      </w:r>
    </w:p>
    <w:p>
      <w:pPr>
        <w:ind w:firstLine="0" w:firstLineChars="0"/>
        <w:jc w:val="center"/>
        <w:outlineLvl w:val="1"/>
        <w:rPr>
          <w:rFonts w:eastAsia="方正黑体_GBK"/>
          <w:bCs/>
          <w:szCs w:val="32"/>
          <w:highlight w:val="none"/>
        </w:rPr>
      </w:pPr>
      <w:bookmarkStart w:id="222" w:name="_Toc73979919"/>
      <w:bookmarkStart w:id="223" w:name="_Toc72746705"/>
      <w:r>
        <w:rPr>
          <w:rFonts w:eastAsia="方正黑体_GBK"/>
          <w:bCs/>
          <w:szCs w:val="32"/>
          <w:highlight w:val="none"/>
        </w:rPr>
        <w:t xml:space="preserve">第三章  </w:t>
      </w:r>
      <w:bookmarkStart w:id="230" w:name="_GoBack"/>
      <w:r>
        <w:rPr>
          <w:rFonts w:eastAsia="方正黑体_GBK"/>
          <w:bCs/>
          <w:szCs w:val="32"/>
          <w:highlight w:val="none"/>
        </w:rPr>
        <w:t>拟采取的主要环境保护措施</w:t>
      </w:r>
      <w:bookmarkEnd w:id="230"/>
      <w:bookmarkEnd w:id="222"/>
      <w:bookmarkEnd w:id="223"/>
    </w:p>
    <w:p>
      <w:pPr>
        <w:pStyle w:val="5"/>
        <w:rPr>
          <w:rFonts w:ascii="Times New Roman"/>
          <w:highlight w:val="none"/>
        </w:rPr>
      </w:pPr>
      <w:bookmarkStart w:id="224" w:name="_Toc72746706"/>
      <w:bookmarkStart w:id="225" w:name="_Toc73979920"/>
      <w:r>
        <w:rPr>
          <w:rFonts w:ascii="Times New Roman"/>
          <w:highlight w:val="none"/>
        </w:rPr>
        <w:t>第一节  多措并举，抓好农业污染防治</w:t>
      </w:r>
      <w:bookmarkEnd w:id="224"/>
      <w:bookmarkEnd w:id="225"/>
    </w:p>
    <w:p>
      <w:pPr>
        <w:ind w:firstLine="640"/>
        <w:rPr>
          <w:highlight w:val="none"/>
        </w:rPr>
      </w:pPr>
      <w:r>
        <w:rPr>
          <w:highlight w:val="none"/>
        </w:rPr>
        <w:t>切实加大优先保护耕地、林地、自然保护地的保护力度，严格按照要求控制养殖范围和规模，坚持农旅深度融合发展。大力发展生态有机农业，积极推行农产品标准化生产，推广新型绿色防控、节水灌溉技术，严厉打击违法犯罪行为。加强对农业投入品的生产经营和使用管控，开展专业化、规模化统防统治，及时对污水、畜禽粪便等进行收集、贮存、清运和无害化处理，严格控制农业生产产生的污染。</w:t>
      </w:r>
    </w:p>
    <w:p>
      <w:pPr>
        <w:pStyle w:val="5"/>
        <w:rPr>
          <w:rFonts w:ascii="Times New Roman"/>
          <w:highlight w:val="none"/>
        </w:rPr>
      </w:pPr>
      <w:bookmarkStart w:id="226" w:name="_Toc73979921"/>
      <w:bookmarkStart w:id="227" w:name="_Toc72746707"/>
      <w:r>
        <w:rPr>
          <w:rFonts w:ascii="Times New Roman"/>
          <w:highlight w:val="none"/>
        </w:rPr>
        <w:t>第二节  突出重点，强化农村环境整治</w:t>
      </w:r>
      <w:bookmarkEnd w:id="226"/>
      <w:bookmarkEnd w:id="227"/>
    </w:p>
    <w:p>
      <w:pPr>
        <w:ind w:firstLine="640"/>
        <w:rPr>
          <w:highlight w:val="none"/>
        </w:rPr>
      </w:pPr>
      <w:r>
        <w:rPr>
          <w:highlight w:val="none"/>
        </w:rPr>
        <w:t>深入实施农村人居环境整治提升五年行动，全面改善农村生态环境。重点开展农村厕所整治，加强粪污无害化处理和资源化利用。推进农村垃圾分类，持续完善农村生活垃圾收</w:t>
      </w:r>
      <w:r>
        <w:rPr>
          <w:rFonts w:hint="eastAsia"/>
          <w:highlight w:val="none"/>
        </w:rPr>
        <w:t>转</w:t>
      </w:r>
      <w:r>
        <w:rPr>
          <w:highlight w:val="none"/>
        </w:rPr>
        <w:t>运</w:t>
      </w:r>
      <w:r>
        <w:rPr>
          <w:rFonts w:hint="eastAsia"/>
          <w:highlight w:val="none"/>
        </w:rPr>
        <w:t>处置体系</w:t>
      </w:r>
      <w:r>
        <w:rPr>
          <w:highlight w:val="none"/>
        </w:rPr>
        <w:t>。加强农村饮用水水源地保护，提高农村生活污水有效处理率。加快建设农村沼气循环综合利用工程，积极推进秸秆</w:t>
      </w:r>
      <w:r>
        <w:rPr>
          <w:rFonts w:hint="eastAsia"/>
          <w:highlight w:val="none"/>
        </w:rPr>
        <w:t>肥料化、饲料化、基料化、燃料化、原料化</w:t>
      </w:r>
      <w:r>
        <w:rPr>
          <w:highlight w:val="none"/>
        </w:rPr>
        <w:t>综合利用。推进环境绿化、村容美化，改善提升村容村貌。</w:t>
      </w:r>
    </w:p>
    <w:p>
      <w:pPr>
        <w:pStyle w:val="5"/>
        <w:rPr>
          <w:rFonts w:ascii="Times New Roman"/>
          <w:highlight w:val="none"/>
        </w:rPr>
      </w:pPr>
      <w:bookmarkStart w:id="228" w:name="_Toc73979922"/>
      <w:bookmarkStart w:id="229" w:name="_Toc72746708"/>
      <w:r>
        <w:rPr>
          <w:rFonts w:ascii="Times New Roman"/>
          <w:highlight w:val="none"/>
        </w:rPr>
        <w:t>第三节  强化宣传，提升群众参与度</w:t>
      </w:r>
      <w:bookmarkEnd w:id="228"/>
      <w:bookmarkEnd w:id="229"/>
    </w:p>
    <w:p>
      <w:pPr>
        <w:ind w:firstLine="640"/>
        <w:rPr>
          <w:highlight w:val="none"/>
        </w:rPr>
      </w:pPr>
      <w:r>
        <w:rPr>
          <w:highlight w:val="none"/>
        </w:rPr>
        <w:t>充分发挥电视台、报刊、户外广告等传统媒体及微信公众号、抖音、快手等新媒体的联动作用，加强基层环保宣传教育力度，提高全民环境保护意识。做好技术培训和宣传指导，大力推广农业清洁生产技术，提高农业生产经营主体的环保意识。广泛动员村民群众参与农村人居环境整治，强化农民群众维护村庄环境卫生的主人翁意识，加快建立文明村规民约，倡导形成健康生活方式，创建整洁优美生活环境。</w:t>
      </w:r>
    </w:p>
    <w:p>
      <w:pPr>
        <w:ind w:firstLine="640"/>
        <w:rPr>
          <w:highlight w:val="none"/>
        </w:rPr>
      </w:pPr>
    </w:p>
    <w:sectPr>
      <w:pgSz w:w="11906" w:h="16838"/>
      <w:pgMar w:top="2098" w:right="1474" w:bottom="1984" w:left="1587" w:header="851" w:footer="850" w:gutter="0"/>
      <w:pgNumType w:fmt="numberInDash"/>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简体">
    <w:altName w:val="方正小标宋_GBK"/>
    <w:panose1 w:val="02010601030101010101"/>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___WRD_EMBED_SUB_44">
    <w:altName w:val="Noto Serif CJK JP"/>
    <w:panose1 w:val="00000000000000000000"/>
    <w:charset w:val="86"/>
    <w:family w:val="script"/>
    <w:pitch w:val="default"/>
    <w:sig w:usb0="00000000" w:usb1="00000000" w:usb2="00000010"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方正黑体简体">
    <w:altName w:val="方正黑体_GBK"/>
    <w:panose1 w:val="02010601030101010101"/>
    <w:charset w:val="86"/>
    <w:family w:val="auto"/>
    <w:pitch w:val="default"/>
    <w:sig w:usb0="00000000" w:usb1="00000000" w:usb2="0000001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Noto Serif CJK JP">
    <w:panose1 w:val="02020400000000000000"/>
    <w:charset w:val="86"/>
    <w:family w:val="auto"/>
    <w:pitch w:val="default"/>
    <w:sig w:usb0="3000008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766054"/>
    </w:sdtPr>
    <w:sdtContent>
      <w:p>
        <w:pPr>
          <w:pStyle w:val="14"/>
          <w:ind w:firstLine="360"/>
          <w:jc w:val="right"/>
        </w:pPr>
      </w:p>
    </w:sdtContent>
  </w:sdt>
  <w:p>
    <w:pPr>
      <w:pStyle w:val="14"/>
      <w:ind w:right="320" w:rightChars="100" w:firstLine="0" w:firstLineChars="0"/>
      <w:jc w:val="right"/>
      <w:rPr>
        <w:rFonts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sz w:val="28"/>
        <w:szCs w:val="44"/>
      </w:rPr>
    </w:pPr>
  </w:p>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367957"/>
    </w:sdtPr>
    <w:sdtContent>
      <w:p>
        <w:pPr>
          <w:pStyle w:val="14"/>
          <w:ind w:firstLine="36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15 -</w:t>
        </w:r>
        <w:r>
          <w:rPr>
            <w:sz w:val="28"/>
            <w:szCs w:val="28"/>
          </w:rPr>
          <w:fldChar w:fldCharType="end"/>
        </w:r>
      </w:p>
    </w:sdtContent>
  </w:sdt>
  <w:p>
    <w:pPr>
      <w:pStyle w:val="14"/>
      <w:ind w:right="320" w:rightChars="100" w:firstLine="0" w:firstLineChars="0"/>
      <w:jc w:val="right"/>
      <w:rPr>
        <w:rFonts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44"/>
      </w:rPr>
      <w:id w:val="875200166"/>
      <w:docPartObj>
        <w:docPartGallery w:val="autotext"/>
      </w:docPartObj>
    </w:sdtPr>
    <w:sdtEndPr>
      <w:rPr>
        <w:sz w:val="28"/>
        <w:szCs w:val="44"/>
      </w:rPr>
    </w:sdtEndPr>
    <w:sdtContent>
      <w:p>
        <w:pPr>
          <w:pStyle w:val="14"/>
          <w:ind w:firstLine="0" w:firstLineChars="0"/>
          <w:rPr>
            <w:sz w:val="28"/>
            <w:szCs w:val="44"/>
          </w:rPr>
        </w:pPr>
        <w:r>
          <w:rPr>
            <w:sz w:val="28"/>
            <w:szCs w:val="44"/>
          </w:rPr>
          <w:fldChar w:fldCharType="begin"/>
        </w:r>
        <w:r>
          <w:rPr>
            <w:sz w:val="28"/>
            <w:szCs w:val="44"/>
          </w:rPr>
          <w:instrText xml:space="preserve">PAGE   \* MERGEFORMAT</w:instrText>
        </w:r>
        <w:r>
          <w:rPr>
            <w:sz w:val="28"/>
            <w:szCs w:val="44"/>
          </w:rPr>
          <w:fldChar w:fldCharType="separate"/>
        </w:r>
        <w:r>
          <w:rPr>
            <w:sz w:val="28"/>
            <w:szCs w:val="44"/>
            <w:lang w:val="zh-CN"/>
          </w:rPr>
          <w:t>-</w:t>
        </w:r>
        <w:r>
          <w:rPr>
            <w:sz w:val="28"/>
            <w:szCs w:val="44"/>
          </w:rPr>
          <w:t xml:space="preserve"> 16 -</w:t>
        </w:r>
        <w:r>
          <w:rPr>
            <w:sz w:val="28"/>
            <w:szCs w:val="44"/>
          </w:rP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bordersDoNotSurroundHeader w:val="true"/>
  <w:bordersDoNotSurroundFooter w:val="true"/>
  <w:hideSpellingErrors/>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B3FBC"/>
    <w:rsid w:val="00000317"/>
    <w:rsid w:val="000008A1"/>
    <w:rsid w:val="0000109F"/>
    <w:rsid w:val="0000184A"/>
    <w:rsid w:val="00002CFD"/>
    <w:rsid w:val="000030E1"/>
    <w:rsid w:val="000038B5"/>
    <w:rsid w:val="0000406B"/>
    <w:rsid w:val="00004798"/>
    <w:rsid w:val="00005508"/>
    <w:rsid w:val="00005A60"/>
    <w:rsid w:val="00005F76"/>
    <w:rsid w:val="00007231"/>
    <w:rsid w:val="000073B3"/>
    <w:rsid w:val="000076F7"/>
    <w:rsid w:val="00007EDE"/>
    <w:rsid w:val="00010442"/>
    <w:rsid w:val="0001064F"/>
    <w:rsid w:val="00010EAF"/>
    <w:rsid w:val="000110EC"/>
    <w:rsid w:val="00011161"/>
    <w:rsid w:val="00011254"/>
    <w:rsid w:val="00011B80"/>
    <w:rsid w:val="00012467"/>
    <w:rsid w:val="000143EE"/>
    <w:rsid w:val="00014B97"/>
    <w:rsid w:val="0001500F"/>
    <w:rsid w:val="0001534B"/>
    <w:rsid w:val="000158C3"/>
    <w:rsid w:val="00016EB6"/>
    <w:rsid w:val="00017385"/>
    <w:rsid w:val="00017F5F"/>
    <w:rsid w:val="000200DD"/>
    <w:rsid w:val="000219B3"/>
    <w:rsid w:val="00021AAB"/>
    <w:rsid w:val="000222BC"/>
    <w:rsid w:val="00022ADB"/>
    <w:rsid w:val="000235ED"/>
    <w:rsid w:val="00023EEB"/>
    <w:rsid w:val="00024444"/>
    <w:rsid w:val="000250B9"/>
    <w:rsid w:val="00025456"/>
    <w:rsid w:val="0002668F"/>
    <w:rsid w:val="0002723C"/>
    <w:rsid w:val="00027753"/>
    <w:rsid w:val="00027ACD"/>
    <w:rsid w:val="0003091C"/>
    <w:rsid w:val="00031347"/>
    <w:rsid w:val="00031EA3"/>
    <w:rsid w:val="00031F0A"/>
    <w:rsid w:val="000320A3"/>
    <w:rsid w:val="000320A9"/>
    <w:rsid w:val="00032887"/>
    <w:rsid w:val="00032ED3"/>
    <w:rsid w:val="00033126"/>
    <w:rsid w:val="000338BE"/>
    <w:rsid w:val="000338F7"/>
    <w:rsid w:val="00034014"/>
    <w:rsid w:val="000348D9"/>
    <w:rsid w:val="0003508A"/>
    <w:rsid w:val="00035199"/>
    <w:rsid w:val="00036242"/>
    <w:rsid w:val="00036E69"/>
    <w:rsid w:val="00037B43"/>
    <w:rsid w:val="00040563"/>
    <w:rsid w:val="000405F0"/>
    <w:rsid w:val="00040883"/>
    <w:rsid w:val="000412B8"/>
    <w:rsid w:val="000414AF"/>
    <w:rsid w:val="00041798"/>
    <w:rsid w:val="00041E87"/>
    <w:rsid w:val="00042921"/>
    <w:rsid w:val="000446BA"/>
    <w:rsid w:val="000479C3"/>
    <w:rsid w:val="00047F33"/>
    <w:rsid w:val="000504A6"/>
    <w:rsid w:val="00050F3F"/>
    <w:rsid w:val="0005168A"/>
    <w:rsid w:val="00051FBB"/>
    <w:rsid w:val="00051FE7"/>
    <w:rsid w:val="00052A10"/>
    <w:rsid w:val="00053083"/>
    <w:rsid w:val="00053C63"/>
    <w:rsid w:val="00054285"/>
    <w:rsid w:val="000545FC"/>
    <w:rsid w:val="00054697"/>
    <w:rsid w:val="00054D71"/>
    <w:rsid w:val="000551C8"/>
    <w:rsid w:val="000552C3"/>
    <w:rsid w:val="000564CD"/>
    <w:rsid w:val="00056868"/>
    <w:rsid w:val="00056DEB"/>
    <w:rsid w:val="000571BB"/>
    <w:rsid w:val="00057B32"/>
    <w:rsid w:val="00060A52"/>
    <w:rsid w:val="00060DE4"/>
    <w:rsid w:val="00061413"/>
    <w:rsid w:val="00062131"/>
    <w:rsid w:val="000621C5"/>
    <w:rsid w:val="00062B26"/>
    <w:rsid w:val="00062BA2"/>
    <w:rsid w:val="00062BFB"/>
    <w:rsid w:val="0006373A"/>
    <w:rsid w:val="000639D0"/>
    <w:rsid w:val="00063D07"/>
    <w:rsid w:val="00064F99"/>
    <w:rsid w:val="000655B6"/>
    <w:rsid w:val="0006585D"/>
    <w:rsid w:val="00065BDC"/>
    <w:rsid w:val="00065EDF"/>
    <w:rsid w:val="00066B8E"/>
    <w:rsid w:val="00066F4A"/>
    <w:rsid w:val="000675C8"/>
    <w:rsid w:val="00067D0E"/>
    <w:rsid w:val="00067DD2"/>
    <w:rsid w:val="000708CB"/>
    <w:rsid w:val="00072C97"/>
    <w:rsid w:val="000730ED"/>
    <w:rsid w:val="00073DAB"/>
    <w:rsid w:val="000744F7"/>
    <w:rsid w:val="000756E2"/>
    <w:rsid w:val="00076147"/>
    <w:rsid w:val="000770BF"/>
    <w:rsid w:val="00077658"/>
    <w:rsid w:val="00077659"/>
    <w:rsid w:val="00077CAF"/>
    <w:rsid w:val="00077F4F"/>
    <w:rsid w:val="000800F1"/>
    <w:rsid w:val="00081C5B"/>
    <w:rsid w:val="00081CC0"/>
    <w:rsid w:val="000821D5"/>
    <w:rsid w:val="0008223D"/>
    <w:rsid w:val="000822D8"/>
    <w:rsid w:val="00082BDB"/>
    <w:rsid w:val="00082DB5"/>
    <w:rsid w:val="000837C8"/>
    <w:rsid w:val="00084F78"/>
    <w:rsid w:val="0008500E"/>
    <w:rsid w:val="0008561E"/>
    <w:rsid w:val="00085E66"/>
    <w:rsid w:val="00085FD3"/>
    <w:rsid w:val="00086BEA"/>
    <w:rsid w:val="000875FD"/>
    <w:rsid w:val="00087BE5"/>
    <w:rsid w:val="00087E62"/>
    <w:rsid w:val="000909CA"/>
    <w:rsid w:val="00090F59"/>
    <w:rsid w:val="000913F8"/>
    <w:rsid w:val="00091F15"/>
    <w:rsid w:val="000922DE"/>
    <w:rsid w:val="000929F3"/>
    <w:rsid w:val="0009340C"/>
    <w:rsid w:val="00093EF7"/>
    <w:rsid w:val="000948E0"/>
    <w:rsid w:val="00094A5D"/>
    <w:rsid w:val="00095629"/>
    <w:rsid w:val="000959A6"/>
    <w:rsid w:val="00096B6B"/>
    <w:rsid w:val="00096B79"/>
    <w:rsid w:val="000970A9"/>
    <w:rsid w:val="000974E9"/>
    <w:rsid w:val="000978BC"/>
    <w:rsid w:val="00097D76"/>
    <w:rsid w:val="00097EE8"/>
    <w:rsid w:val="000A00B9"/>
    <w:rsid w:val="000A0A6F"/>
    <w:rsid w:val="000A2A89"/>
    <w:rsid w:val="000A3BDB"/>
    <w:rsid w:val="000A3BDE"/>
    <w:rsid w:val="000A433D"/>
    <w:rsid w:val="000A4F67"/>
    <w:rsid w:val="000A5019"/>
    <w:rsid w:val="000A5179"/>
    <w:rsid w:val="000A54B3"/>
    <w:rsid w:val="000A58ED"/>
    <w:rsid w:val="000A70DE"/>
    <w:rsid w:val="000A7B47"/>
    <w:rsid w:val="000B0C00"/>
    <w:rsid w:val="000B0D98"/>
    <w:rsid w:val="000B0DE6"/>
    <w:rsid w:val="000B149E"/>
    <w:rsid w:val="000B2947"/>
    <w:rsid w:val="000B294C"/>
    <w:rsid w:val="000B30D4"/>
    <w:rsid w:val="000B35E1"/>
    <w:rsid w:val="000B3758"/>
    <w:rsid w:val="000B3C5C"/>
    <w:rsid w:val="000B49DC"/>
    <w:rsid w:val="000B50EA"/>
    <w:rsid w:val="000B5649"/>
    <w:rsid w:val="000B5655"/>
    <w:rsid w:val="000B585D"/>
    <w:rsid w:val="000B5D3C"/>
    <w:rsid w:val="000B7181"/>
    <w:rsid w:val="000B7A65"/>
    <w:rsid w:val="000B7B8E"/>
    <w:rsid w:val="000C01EF"/>
    <w:rsid w:val="000C0D0F"/>
    <w:rsid w:val="000C0ED4"/>
    <w:rsid w:val="000C1B55"/>
    <w:rsid w:val="000C221B"/>
    <w:rsid w:val="000C22B2"/>
    <w:rsid w:val="000C264C"/>
    <w:rsid w:val="000C2EC0"/>
    <w:rsid w:val="000C37EE"/>
    <w:rsid w:val="000C38CD"/>
    <w:rsid w:val="000C3C9C"/>
    <w:rsid w:val="000C45EB"/>
    <w:rsid w:val="000C4E27"/>
    <w:rsid w:val="000C51CF"/>
    <w:rsid w:val="000C5261"/>
    <w:rsid w:val="000C5281"/>
    <w:rsid w:val="000C531E"/>
    <w:rsid w:val="000C5A67"/>
    <w:rsid w:val="000C6617"/>
    <w:rsid w:val="000C6E76"/>
    <w:rsid w:val="000C7494"/>
    <w:rsid w:val="000C76FF"/>
    <w:rsid w:val="000D0634"/>
    <w:rsid w:val="000D1E2E"/>
    <w:rsid w:val="000D2145"/>
    <w:rsid w:val="000D23EA"/>
    <w:rsid w:val="000D2BFF"/>
    <w:rsid w:val="000D3268"/>
    <w:rsid w:val="000D393E"/>
    <w:rsid w:val="000D39E0"/>
    <w:rsid w:val="000D402A"/>
    <w:rsid w:val="000D50E3"/>
    <w:rsid w:val="000D5664"/>
    <w:rsid w:val="000D60FF"/>
    <w:rsid w:val="000D64E7"/>
    <w:rsid w:val="000D699C"/>
    <w:rsid w:val="000D7DC8"/>
    <w:rsid w:val="000D7E88"/>
    <w:rsid w:val="000D7F3F"/>
    <w:rsid w:val="000E018C"/>
    <w:rsid w:val="000E06B7"/>
    <w:rsid w:val="000E0B37"/>
    <w:rsid w:val="000E0D37"/>
    <w:rsid w:val="000E0F96"/>
    <w:rsid w:val="000E1AD5"/>
    <w:rsid w:val="000E2AEE"/>
    <w:rsid w:val="000E2D5E"/>
    <w:rsid w:val="000E395C"/>
    <w:rsid w:val="000E3B43"/>
    <w:rsid w:val="000E41B6"/>
    <w:rsid w:val="000E4557"/>
    <w:rsid w:val="000E4D62"/>
    <w:rsid w:val="000E5031"/>
    <w:rsid w:val="000E5CB4"/>
    <w:rsid w:val="000E6B47"/>
    <w:rsid w:val="000E7170"/>
    <w:rsid w:val="000E7758"/>
    <w:rsid w:val="000F01AB"/>
    <w:rsid w:val="000F0972"/>
    <w:rsid w:val="000F13C0"/>
    <w:rsid w:val="000F2407"/>
    <w:rsid w:val="000F2625"/>
    <w:rsid w:val="000F443B"/>
    <w:rsid w:val="000F4997"/>
    <w:rsid w:val="000F4A6D"/>
    <w:rsid w:val="000F531E"/>
    <w:rsid w:val="000F60C0"/>
    <w:rsid w:val="000F623C"/>
    <w:rsid w:val="000F63FB"/>
    <w:rsid w:val="000F6937"/>
    <w:rsid w:val="000F695D"/>
    <w:rsid w:val="000F7336"/>
    <w:rsid w:val="00100CE7"/>
    <w:rsid w:val="00100D05"/>
    <w:rsid w:val="001013A0"/>
    <w:rsid w:val="001016B5"/>
    <w:rsid w:val="00101961"/>
    <w:rsid w:val="00102095"/>
    <w:rsid w:val="00102665"/>
    <w:rsid w:val="00102E27"/>
    <w:rsid w:val="00103B2E"/>
    <w:rsid w:val="0010475D"/>
    <w:rsid w:val="00104B2D"/>
    <w:rsid w:val="00104E77"/>
    <w:rsid w:val="001055D7"/>
    <w:rsid w:val="001057DC"/>
    <w:rsid w:val="00106358"/>
    <w:rsid w:val="001079F1"/>
    <w:rsid w:val="0011043D"/>
    <w:rsid w:val="00110507"/>
    <w:rsid w:val="00111FC7"/>
    <w:rsid w:val="0011221C"/>
    <w:rsid w:val="001125A2"/>
    <w:rsid w:val="001132D7"/>
    <w:rsid w:val="0011364E"/>
    <w:rsid w:val="001138DC"/>
    <w:rsid w:val="001138FA"/>
    <w:rsid w:val="0011492F"/>
    <w:rsid w:val="00115338"/>
    <w:rsid w:val="001160FE"/>
    <w:rsid w:val="00116216"/>
    <w:rsid w:val="00116B2C"/>
    <w:rsid w:val="001204AB"/>
    <w:rsid w:val="00120981"/>
    <w:rsid w:val="001209D4"/>
    <w:rsid w:val="00120FB8"/>
    <w:rsid w:val="00121680"/>
    <w:rsid w:val="001217F8"/>
    <w:rsid w:val="0012195C"/>
    <w:rsid w:val="0012207C"/>
    <w:rsid w:val="00122165"/>
    <w:rsid w:val="00122AEC"/>
    <w:rsid w:val="0012326D"/>
    <w:rsid w:val="0012377B"/>
    <w:rsid w:val="00123CB5"/>
    <w:rsid w:val="001245FB"/>
    <w:rsid w:val="00124652"/>
    <w:rsid w:val="00124E7F"/>
    <w:rsid w:val="00126A15"/>
    <w:rsid w:val="00126D59"/>
    <w:rsid w:val="00127535"/>
    <w:rsid w:val="00127D9C"/>
    <w:rsid w:val="00130271"/>
    <w:rsid w:val="00130428"/>
    <w:rsid w:val="00130FF7"/>
    <w:rsid w:val="001314B0"/>
    <w:rsid w:val="001317B9"/>
    <w:rsid w:val="00131831"/>
    <w:rsid w:val="00132548"/>
    <w:rsid w:val="001336C1"/>
    <w:rsid w:val="00133861"/>
    <w:rsid w:val="00134062"/>
    <w:rsid w:val="0013501C"/>
    <w:rsid w:val="00135869"/>
    <w:rsid w:val="00135AB2"/>
    <w:rsid w:val="00135E7F"/>
    <w:rsid w:val="00136BB3"/>
    <w:rsid w:val="00137199"/>
    <w:rsid w:val="00140032"/>
    <w:rsid w:val="00140176"/>
    <w:rsid w:val="00140218"/>
    <w:rsid w:val="00140534"/>
    <w:rsid w:val="00140594"/>
    <w:rsid w:val="001405CA"/>
    <w:rsid w:val="00141F4C"/>
    <w:rsid w:val="00142205"/>
    <w:rsid w:val="001429FD"/>
    <w:rsid w:val="00142EF7"/>
    <w:rsid w:val="00143154"/>
    <w:rsid w:val="0014315C"/>
    <w:rsid w:val="00143368"/>
    <w:rsid w:val="001437F6"/>
    <w:rsid w:val="001442AE"/>
    <w:rsid w:val="0014507C"/>
    <w:rsid w:val="00145CB1"/>
    <w:rsid w:val="00146EBF"/>
    <w:rsid w:val="00147362"/>
    <w:rsid w:val="001476EC"/>
    <w:rsid w:val="00147F74"/>
    <w:rsid w:val="001505E5"/>
    <w:rsid w:val="00150DF4"/>
    <w:rsid w:val="00151E22"/>
    <w:rsid w:val="00151E6A"/>
    <w:rsid w:val="001528DA"/>
    <w:rsid w:val="00153F87"/>
    <w:rsid w:val="001545B0"/>
    <w:rsid w:val="001547D2"/>
    <w:rsid w:val="00154E2F"/>
    <w:rsid w:val="001557F7"/>
    <w:rsid w:val="00156268"/>
    <w:rsid w:val="001568F6"/>
    <w:rsid w:val="00156C24"/>
    <w:rsid w:val="0015738E"/>
    <w:rsid w:val="001607AF"/>
    <w:rsid w:val="00160849"/>
    <w:rsid w:val="00160957"/>
    <w:rsid w:val="00160B93"/>
    <w:rsid w:val="00161B9B"/>
    <w:rsid w:val="00161C20"/>
    <w:rsid w:val="00162910"/>
    <w:rsid w:val="00162DD7"/>
    <w:rsid w:val="001641DA"/>
    <w:rsid w:val="00164CFF"/>
    <w:rsid w:val="00165E89"/>
    <w:rsid w:val="00166D61"/>
    <w:rsid w:val="00167C89"/>
    <w:rsid w:val="00170506"/>
    <w:rsid w:val="00170904"/>
    <w:rsid w:val="00171661"/>
    <w:rsid w:val="00171798"/>
    <w:rsid w:val="0017181A"/>
    <w:rsid w:val="0017181E"/>
    <w:rsid w:val="00171831"/>
    <w:rsid w:val="00172362"/>
    <w:rsid w:val="001724EE"/>
    <w:rsid w:val="001726C6"/>
    <w:rsid w:val="00173065"/>
    <w:rsid w:val="0017446F"/>
    <w:rsid w:val="001750E2"/>
    <w:rsid w:val="001769F0"/>
    <w:rsid w:val="00177666"/>
    <w:rsid w:val="00177998"/>
    <w:rsid w:val="0018102C"/>
    <w:rsid w:val="001811AC"/>
    <w:rsid w:val="00182547"/>
    <w:rsid w:val="00182742"/>
    <w:rsid w:val="00183386"/>
    <w:rsid w:val="00183F6B"/>
    <w:rsid w:val="0018407C"/>
    <w:rsid w:val="0018446F"/>
    <w:rsid w:val="00184806"/>
    <w:rsid w:val="00184912"/>
    <w:rsid w:val="00184C3B"/>
    <w:rsid w:val="00184C4A"/>
    <w:rsid w:val="001858A2"/>
    <w:rsid w:val="00185F6E"/>
    <w:rsid w:val="0018640B"/>
    <w:rsid w:val="00186875"/>
    <w:rsid w:val="00186BA0"/>
    <w:rsid w:val="001879B1"/>
    <w:rsid w:val="00187C90"/>
    <w:rsid w:val="00187D28"/>
    <w:rsid w:val="00187FC8"/>
    <w:rsid w:val="001907C8"/>
    <w:rsid w:val="00190887"/>
    <w:rsid w:val="0019199A"/>
    <w:rsid w:val="00193925"/>
    <w:rsid w:val="00193CB0"/>
    <w:rsid w:val="001941E3"/>
    <w:rsid w:val="00194B1D"/>
    <w:rsid w:val="00194F50"/>
    <w:rsid w:val="0019515D"/>
    <w:rsid w:val="00195241"/>
    <w:rsid w:val="00195870"/>
    <w:rsid w:val="00196193"/>
    <w:rsid w:val="0019629D"/>
    <w:rsid w:val="001966BA"/>
    <w:rsid w:val="00196845"/>
    <w:rsid w:val="00196852"/>
    <w:rsid w:val="00196C9A"/>
    <w:rsid w:val="0019743C"/>
    <w:rsid w:val="00197627"/>
    <w:rsid w:val="00197FC7"/>
    <w:rsid w:val="001A0075"/>
    <w:rsid w:val="001A0FD4"/>
    <w:rsid w:val="001A169D"/>
    <w:rsid w:val="001A1834"/>
    <w:rsid w:val="001A1BF5"/>
    <w:rsid w:val="001A21A9"/>
    <w:rsid w:val="001A228D"/>
    <w:rsid w:val="001A23A0"/>
    <w:rsid w:val="001A2854"/>
    <w:rsid w:val="001A29F1"/>
    <w:rsid w:val="001A2BDF"/>
    <w:rsid w:val="001A3180"/>
    <w:rsid w:val="001A50C2"/>
    <w:rsid w:val="001A55DA"/>
    <w:rsid w:val="001A5BFA"/>
    <w:rsid w:val="001A627F"/>
    <w:rsid w:val="001A695B"/>
    <w:rsid w:val="001B0AE8"/>
    <w:rsid w:val="001B11E2"/>
    <w:rsid w:val="001B19AF"/>
    <w:rsid w:val="001B4238"/>
    <w:rsid w:val="001B4908"/>
    <w:rsid w:val="001B4AEE"/>
    <w:rsid w:val="001B5441"/>
    <w:rsid w:val="001B55E7"/>
    <w:rsid w:val="001B5FDB"/>
    <w:rsid w:val="001C0508"/>
    <w:rsid w:val="001C0871"/>
    <w:rsid w:val="001C22AC"/>
    <w:rsid w:val="001C2B4C"/>
    <w:rsid w:val="001C43F3"/>
    <w:rsid w:val="001C4D3C"/>
    <w:rsid w:val="001C5818"/>
    <w:rsid w:val="001C5C97"/>
    <w:rsid w:val="001C5FA9"/>
    <w:rsid w:val="001C637F"/>
    <w:rsid w:val="001C6618"/>
    <w:rsid w:val="001C6902"/>
    <w:rsid w:val="001C6CAB"/>
    <w:rsid w:val="001C746C"/>
    <w:rsid w:val="001C78E7"/>
    <w:rsid w:val="001C7978"/>
    <w:rsid w:val="001C7B2B"/>
    <w:rsid w:val="001D00DC"/>
    <w:rsid w:val="001D032E"/>
    <w:rsid w:val="001D118E"/>
    <w:rsid w:val="001D1DE9"/>
    <w:rsid w:val="001D30D8"/>
    <w:rsid w:val="001D32B8"/>
    <w:rsid w:val="001D383B"/>
    <w:rsid w:val="001D3921"/>
    <w:rsid w:val="001D4202"/>
    <w:rsid w:val="001D4BD2"/>
    <w:rsid w:val="001D4C6C"/>
    <w:rsid w:val="001D4E02"/>
    <w:rsid w:val="001D56E0"/>
    <w:rsid w:val="001D5E0D"/>
    <w:rsid w:val="001D63EC"/>
    <w:rsid w:val="001D674C"/>
    <w:rsid w:val="001D74C9"/>
    <w:rsid w:val="001D76B1"/>
    <w:rsid w:val="001E05D1"/>
    <w:rsid w:val="001E0A03"/>
    <w:rsid w:val="001E13C3"/>
    <w:rsid w:val="001E1B89"/>
    <w:rsid w:val="001E1C5A"/>
    <w:rsid w:val="001E26AB"/>
    <w:rsid w:val="001E34F0"/>
    <w:rsid w:val="001E4019"/>
    <w:rsid w:val="001E765F"/>
    <w:rsid w:val="001E77FB"/>
    <w:rsid w:val="001E7938"/>
    <w:rsid w:val="001E7E2B"/>
    <w:rsid w:val="001F0467"/>
    <w:rsid w:val="001F0580"/>
    <w:rsid w:val="001F136C"/>
    <w:rsid w:val="001F1729"/>
    <w:rsid w:val="001F22F7"/>
    <w:rsid w:val="001F2A3C"/>
    <w:rsid w:val="001F3412"/>
    <w:rsid w:val="001F38EB"/>
    <w:rsid w:val="001F3B85"/>
    <w:rsid w:val="001F47D5"/>
    <w:rsid w:val="001F573C"/>
    <w:rsid w:val="001F5A04"/>
    <w:rsid w:val="001F5C01"/>
    <w:rsid w:val="001F5DA4"/>
    <w:rsid w:val="001F6827"/>
    <w:rsid w:val="002009E0"/>
    <w:rsid w:val="00200DE0"/>
    <w:rsid w:val="002011DC"/>
    <w:rsid w:val="002014EA"/>
    <w:rsid w:val="002022FE"/>
    <w:rsid w:val="00203284"/>
    <w:rsid w:val="00204942"/>
    <w:rsid w:val="00205B38"/>
    <w:rsid w:val="00205F18"/>
    <w:rsid w:val="00206D4F"/>
    <w:rsid w:val="00207085"/>
    <w:rsid w:val="00207DB2"/>
    <w:rsid w:val="002101D8"/>
    <w:rsid w:val="00212362"/>
    <w:rsid w:val="002124E9"/>
    <w:rsid w:val="002139B2"/>
    <w:rsid w:val="00213D5E"/>
    <w:rsid w:val="00214682"/>
    <w:rsid w:val="002149AD"/>
    <w:rsid w:val="00214F98"/>
    <w:rsid w:val="00215159"/>
    <w:rsid w:val="00215ED2"/>
    <w:rsid w:val="002160F9"/>
    <w:rsid w:val="002169EE"/>
    <w:rsid w:val="00216B54"/>
    <w:rsid w:val="00217728"/>
    <w:rsid w:val="002202FF"/>
    <w:rsid w:val="0022065B"/>
    <w:rsid w:val="00220FE5"/>
    <w:rsid w:val="00222A2F"/>
    <w:rsid w:val="002230EA"/>
    <w:rsid w:val="00223237"/>
    <w:rsid w:val="002237F6"/>
    <w:rsid w:val="00223857"/>
    <w:rsid w:val="00223CEF"/>
    <w:rsid w:val="00223E52"/>
    <w:rsid w:val="002240A7"/>
    <w:rsid w:val="00224F04"/>
    <w:rsid w:val="002251D5"/>
    <w:rsid w:val="002252FA"/>
    <w:rsid w:val="002257EB"/>
    <w:rsid w:val="00225E08"/>
    <w:rsid w:val="00226058"/>
    <w:rsid w:val="00230686"/>
    <w:rsid w:val="00230736"/>
    <w:rsid w:val="00230CC2"/>
    <w:rsid w:val="002334CA"/>
    <w:rsid w:val="00233869"/>
    <w:rsid w:val="00233A69"/>
    <w:rsid w:val="00233C56"/>
    <w:rsid w:val="00234594"/>
    <w:rsid w:val="00234C01"/>
    <w:rsid w:val="002350C8"/>
    <w:rsid w:val="0023559D"/>
    <w:rsid w:val="00236044"/>
    <w:rsid w:val="00236FBE"/>
    <w:rsid w:val="0023764B"/>
    <w:rsid w:val="00237738"/>
    <w:rsid w:val="002409F4"/>
    <w:rsid w:val="002419D8"/>
    <w:rsid w:val="00241A00"/>
    <w:rsid w:val="002421A0"/>
    <w:rsid w:val="00242771"/>
    <w:rsid w:val="0024277A"/>
    <w:rsid w:val="00242996"/>
    <w:rsid w:val="00243D8E"/>
    <w:rsid w:val="00244E5A"/>
    <w:rsid w:val="00244FF4"/>
    <w:rsid w:val="0024568C"/>
    <w:rsid w:val="00245A7A"/>
    <w:rsid w:val="002461A0"/>
    <w:rsid w:val="002468E0"/>
    <w:rsid w:val="0024718D"/>
    <w:rsid w:val="002474EB"/>
    <w:rsid w:val="0024755C"/>
    <w:rsid w:val="002512C7"/>
    <w:rsid w:val="002513C6"/>
    <w:rsid w:val="00251614"/>
    <w:rsid w:val="0025163F"/>
    <w:rsid w:val="00251BB7"/>
    <w:rsid w:val="002523FC"/>
    <w:rsid w:val="00253991"/>
    <w:rsid w:val="00254F5C"/>
    <w:rsid w:val="002557D7"/>
    <w:rsid w:val="0025595C"/>
    <w:rsid w:val="002566F0"/>
    <w:rsid w:val="00256898"/>
    <w:rsid w:val="00257309"/>
    <w:rsid w:val="00257F99"/>
    <w:rsid w:val="00260E27"/>
    <w:rsid w:val="00260EB4"/>
    <w:rsid w:val="00261479"/>
    <w:rsid w:val="00261725"/>
    <w:rsid w:val="00261C78"/>
    <w:rsid w:val="002625FC"/>
    <w:rsid w:val="0026292B"/>
    <w:rsid w:val="0026408E"/>
    <w:rsid w:val="00266BE6"/>
    <w:rsid w:val="0026751F"/>
    <w:rsid w:val="002675F3"/>
    <w:rsid w:val="00267D9D"/>
    <w:rsid w:val="0027065A"/>
    <w:rsid w:val="00271599"/>
    <w:rsid w:val="002719CD"/>
    <w:rsid w:val="002723FF"/>
    <w:rsid w:val="002726A6"/>
    <w:rsid w:val="00272CA4"/>
    <w:rsid w:val="00272EC7"/>
    <w:rsid w:val="00273221"/>
    <w:rsid w:val="00273C48"/>
    <w:rsid w:val="00276354"/>
    <w:rsid w:val="002769BC"/>
    <w:rsid w:val="00277F14"/>
    <w:rsid w:val="00280AE7"/>
    <w:rsid w:val="00280D47"/>
    <w:rsid w:val="0028115B"/>
    <w:rsid w:val="0028262F"/>
    <w:rsid w:val="00283B76"/>
    <w:rsid w:val="00283D43"/>
    <w:rsid w:val="00286D83"/>
    <w:rsid w:val="00286E92"/>
    <w:rsid w:val="0029050C"/>
    <w:rsid w:val="00290A84"/>
    <w:rsid w:val="00291D05"/>
    <w:rsid w:val="00292117"/>
    <w:rsid w:val="00292940"/>
    <w:rsid w:val="002929C5"/>
    <w:rsid w:val="00292B15"/>
    <w:rsid w:val="00293426"/>
    <w:rsid w:val="00293F1D"/>
    <w:rsid w:val="00293F37"/>
    <w:rsid w:val="002941AF"/>
    <w:rsid w:val="0029451E"/>
    <w:rsid w:val="002957C6"/>
    <w:rsid w:val="00295843"/>
    <w:rsid w:val="002958FC"/>
    <w:rsid w:val="00295B64"/>
    <w:rsid w:val="00295FE1"/>
    <w:rsid w:val="002966DD"/>
    <w:rsid w:val="00296D97"/>
    <w:rsid w:val="00296FAB"/>
    <w:rsid w:val="002970EF"/>
    <w:rsid w:val="0029768F"/>
    <w:rsid w:val="002976B7"/>
    <w:rsid w:val="00297882"/>
    <w:rsid w:val="00297C71"/>
    <w:rsid w:val="002A123F"/>
    <w:rsid w:val="002A2007"/>
    <w:rsid w:val="002A20AE"/>
    <w:rsid w:val="002A24F5"/>
    <w:rsid w:val="002A2654"/>
    <w:rsid w:val="002A37DD"/>
    <w:rsid w:val="002A49C9"/>
    <w:rsid w:val="002A4B34"/>
    <w:rsid w:val="002A4B6F"/>
    <w:rsid w:val="002A51FB"/>
    <w:rsid w:val="002A555E"/>
    <w:rsid w:val="002A5822"/>
    <w:rsid w:val="002A5839"/>
    <w:rsid w:val="002A5841"/>
    <w:rsid w:val="002A5C17"/>
    <w:rsid w:val="002A5F82"/>
    <w:rsid w:val="002A619D"/>
    <w:rsid w:val="002A7293"/>
    <w:rsid w:val="002A7825"/>
    <w:rsid w:val="002A7B46"/>
    <w:rsid w:val="002A7BBE"/>
    <w:rsid w:val="002B0579"/>
    <w:rsid w:val="002B1489"/>
    <w:rsid w:val="002B1AE9"/>
    <w:rsid w:val="002B294B"/>
    <w:rsid w:val="002B2A5B"/>
    <w:rsid w:val="002B30C6"/>
    <w:rsid w:val="002B3280"/>
    <w:rsid w:val="002B575C"/>
    <w:rsid w:val="002B6BC0"/>
    <w:rsid w:val="002B7378"/>
    <w:rsid w:val="002B757A"/>
    <w:rsid w:val="002B76BE"/>
    <w:rsid w:val="002C0A70"/>
    <w:rsid w:val="002C0C08"/>
    <w:rsid w:val="002C10A5"/>
    <w:rsid w:val="002C165C"/>
    <w:rsid w:val="002C19CE"/>
    <w:rsid w:val="002C1A9C"/>
    <w:rsid w:val="002C24EC"/>
    <w:rsid w:val="002C2981"/>
    <w:rsid w:val="002C384F"/>
    <w:rsid w:val="002C3A52"/>
    <w:rsid w:val="002C3B1C"/>
    <w:rsid w:val="002C3C13"/>
    <w:rsid w:val="002C4988"/>
    <w:rsid w:val="002C524F"/>
    <w:rsid w:val="002C56B7"/>
    <w:rsid w:val="002C6041"/>
    <w:rsid w:val="002C641A"/>
    <w:rsid w:val="002C65E8"/>
    <w:rsid w:val="002C69EE"/>
    <w:rsid w:val="002C6C31"/>
    <w:rsid w:val="002C762E"/>
    <w:rsid w:val="002D0220"/>
    <w:rsid w:val="002D0D12"/>
    <w:rsid w:val="002D1031"/>
    <w:rsid w:val="002D2191"/>
    <w:rsid w:val="002D274C"/>
    <w:rsid w:val="002D28AB"/>
    <w:rsid w:val="002D3EE6"/>
    <w:rsid w:val="002D3F9F"/>
    <w:rsid w:val="002D4C45"/>
    <w:rsid w:val="002D50B4"/>
    <w:rsid w:val="002D566A"/>
    <w:rsid w:val="002D58BB"/>
    <w:rsid w:val="002D5E5D"/>
    <w:rsid w:val="002D6BF0"/>
    <w:rsid w:val="002D7045"/>
    <w:rsid w:val="002D72BA"/>
    <w:rsid w:val="002D7D52"/>
    <w:rsid w:val="002E058A"/>
    <w:rsid w:val="002E0DBD"/>
    <w:rsid w:val="002E0E24"/>
    <w:rsid w:val="002E1EE9"/>
    <w:rsid w:val="002E3989"/>
    <w:rsid w:val="002E53EA"/>
    <w:rsid w:val="002E6280"/>
    <w:rsid w:val="002E78FB"/>
    <w:rsid w:val="002F1615"/>
    <w:rsid w:val="002F1C1B"/>
    <w:rsid w:val="002F25C6"/>
    <w:rsid w:val="002F29CD"/>
    <w:rsid w:val="002F2DDE"/>
    <w:rsid w:val="002F3478"/>
    <w:rsid w:val="002F5129"/>
    <w:rsid w:val="002F5455"/>
    <w:rsid w:val="002F58E0"/>
    <w:rsid w:val="002F6796"/>
    <w:rsid w:val="002F6A9C"/>
    <w:rsid w:val="002F6D91"/>
    <w:rsid w:val="002F7328"/>
    <w:rsid w:val="002F77DD"/>
    <w:rsid w:val="002F79D0"/>
    <w:rsid w:val="0030113F"/>
    <w:rsid w:val="00301CEB"/>
    <w:rsid w:val="00302543"/>
    <w:rsid w:val="00303210"/>
    <w:rsid w:val="00303642"/>
    <w:rsid w:val="00303A37"/>
    <w:rsid w:val="00303FE1"/>
    <w:rsid w:val="0030457B"/>
    <w:rsid w:val="00304D1A"/>
    <w:rsid w:val="0030514B"/>
    <w:rsid w:val="00305543"/>
    <w:rsid w:val="00306464"/>
    <w:rsid w:val="003066A5"/>
    <w:rsid w:val="0030705C"/>
    <w:rsid w:val="00307A5E"/>
    <w:rsid w:val="003105F5"/>
    <w:rsid w:val="00311069"/>
    <w:rsid w:val="00311EC0"/>
    <w:rsid w:val="003133B3"/>
    <w:rsid w:val="00313536"/>
    <w:rsid w:val="00313A0B"/>
    <w:rsid w:val="00314171"/>
    <w:rsid w:val="00314996"/>
    <w:rsid w:val="00314E02"/>
    <w:rsid w:val="00315939"/>
    <w:rsid w:val="00315DF0"/>
    <w:rsid w:val="00315E5E"/>
    <w:rsid w:val="00315F5B"/>
    <w:rsid w:val="0031625F"/>
    <w:rsid w:val="00317414"/>
    <w:rsid w:val="003201E3"/>
    <w:rsid w:val="00321386"/>
    <w:rsid w:val="003214DB"/>
    <w:rsid w:val="0032188C"/>
    <w:rsid w:val="00322D3F"/>
    <w:rsid w:val="00323D7B"/>
    <w:rsid w:val="0032425F"/>
    <w:rsid w:val="00324280"/>
    <w:rsid w:val="00324396"/>
    <w:rsid w:val="0032492D"/>
    <w:rsid w:val="00324E95"/>
    <w:rsid w:val="00325C7A"/>
    <w:rsid w:val="00326747"/>
    <w:rsid w:val="00327497"/>
    <w:rsid w:val="0033139A"/>
    <w:rsid w:val="003313B4"/>
    <w:rsid w:val="0033191F"/>
    <w:rsid w:val="00332535"/>
    <w:rsid w:val="00332661"/>
    <w:rsid w:val="00334D29"/>
    <w:rsid w:val="00335612"/>
    <w:rsid w:val="00335909"/>
    <w:rsid w:val="0033596A"/>
    <w:rsid w:val="00335D83"/>
    <w:rsid w:val="00336D77"/>
    <w:rsid w:val="00337650"/>
    <w:rsid w:val="00337833"/>
    <w:rsid w:val="00337DC1"/>
    <w:rsid w:val="00337E1D"/>
    <w:rsid w:val="00340F1B"/>
    <w:rsid w:val="00342159"/>
    <w:rsid w:val="00342DB3"/>
    <w:rsid w:val="003437E5"/>
    <w:rsid w:val="00344570"/>
    <w:rsid w:val="00344AA2"/>
    <w:rsid w:val="003452C3"/>
    <w:rsid w:val="003476C8"/>
    <w:rsid w:val="00347819"/>
    <w:rsid w:val="003502C3"/>
    <w:rsid w:val="0035112D"/>
    <w:rsid w:val="0035140A"/>
    <w:rsid w:val="0035166C"/>
    <w:rsid w:val="003516DA"/>
    <w:rsid w:val="0035185B"/>
    <w:rsid w:val="00352029"/>
    <w:rsid w:val="003521B6"/>
    <w:rsid w:val="00352958"/>
    <w:rsid w:val="00352CC7"/>
    <w:rsid w:val="00354138"/>
    <w:rsid w:val="00354446"/>
    <w:rsid w:val="0035464A"/>
    <w:rsid w:val="00354D0B"/>
    <w:rsid w:val="00356C63"/>
    <w:rsid w:val="00356D89"/>
    <w:rsid w:val="0035761C"/>
    <w:rsid w:val="00357E22"/>
    <w:rsid w:val="00357FB4"/>
    <w:rsid w:val="00360232"/>
    <w:rsid w:val="00360322"/>
    <w:rsid w:val="0036080E"/>
    <w:rsid w:val="00361BBA"/>
    <w:rsid w:val="00361F71"/>
    <w:rsid w:val="00362303"/>
    <w:rsid w:val="003625D3"/>
    <w:rsid w:val="003627AE"/>
    <w:rsid w:val="003633DD"/>
    <w:rsid w:val="0036358E"/>
    <w:rsid w:val="00363CCD"/>
    <w:rsid w:val="00363D4B"/>
    <w:rsid w:val="00364F94"/>
    <w:rsid w:val="003655B1"/>
    <w:rsid w:val="00365BAF"/>
    <w:rsid w:val="00365D51"/>
    <w:rsid w:val="00366CED"/>
    <w:rsid w:val="00367366"/>
    <w:rsid w:val="00367FA2"/>
    <w:rsid w:val="0037007A"/>
    <w:rsid w:val="0037015E"/>
    <w:rsid w:val="00371486"/>
    <w:rsid w:val="003721D7"/>
    <w:rsid w:val="00372795"/>
    <w:rsid w:val="00372827"/>
    <w:rsid w:val="00373804"/>
    <w:rsid w:val="003745AF"/>
    <w:rsid w:val="003752E7"/>
    <w:rsid w:val="00376088"/>
    <w:rsid w:val="0037630E"/>
    <w:rsid w:val="0037653B"/>
    <w:rsid w:val="00376DBF"/>
    <w:rsid w:val="00376E33"/>
    <w:rsid w:val="00377FF5"/>
    <w:rsid w:val="00381053"/>
    <w:rsid w:val="0038302C"/>
    <w:rsid w:val="003836C4"/>
    <w:rsid w:val="00386188"/>
    <w:rsid w:val="00387016"/>
    <w:rsid w:val="00387EEF"/>
    <w:rsid w:val="00391050"/>
    <w:rsid w:val="00391606"/>
    <w:rsid w:val="003919FD"/>
    <w:rsid w:val="00391AC6"/>
    <w:rsid w:val="00391E31"/>
    <w:rsid w:val="00392B0A"/>
    <w:rsid w:val="003938AB"/>
    <w:rsid w:val="003948D2"/>
    <w:rsid w:val="00394E96"/>
    <w:rsid w:val="00394FC4"/>
    <w:rsid w:val="00395395"/>
    <w:rsid w:val="003958B2"/>
    <w:rsid w:val="00396358"/>
    <w:rsid w:val="00396DD7"/>
    <w:rsid w:val="00397553"/>
    <w:rsid w:val="00397659"/>
    <w:rsid w:val="00397861"/>
    <w:rsid w:val="00397DC7"/>
    <w:rsid w:val="003A0136"/>
    <w:rsid w:val="003A02E8"/>
    <w:rsid w:val="003A0944"/>
    <w:rsid w:val="003A114C"/>
    <w:rsid w:val="003A135F"/>
    <w:rsid w:val="003A18A9"/>
    <w:rsid w:val="003A2364"/>
    <w:rsid w:val="003A26AD"/>
    <w:rsid w:val="003A26FB"/>
    <w:rsid w:val="003A294C"/>
    <w:rsid w:val="003A4478"/>
    <w:rsid w:val="003A57C6"/>
    <w:rsid w:val="003A5A5C"/>
    <w:rsid w:val="003A5F06"/>
    <w:rsid w:val="003A5FD3"/>
    <w:rsid w:val="003A68C7"/>
    <w:rsid w:val="003A6AF4"/>
    <w:rsid w:val="003A6BD1"/>
    <w:rsid w:val="003A7D6E"/>
    <w:rsid w:val="003B06CD"/>
    <w:rsid w:val="003B0933"/>
    <w:rsid w:val="003B0D4E"/>
    <w:rsid w:val="003B1097"/>
    <w:rsid w:val="003B262E"/>
    <w:rsid w:val="003B29B7"/>
    <w:rsid w:val="003B38A5"/>
    <w:rsid w:val="003B3E26"/>
    <w:rsid w:val="003B3F30"/>
    <w:rsid w:val="003B40BD"/>
    <w:rsid w:val="003B4997"/>
    <w:rsid w:val="003B5D60"/>
    <w:rsid w:val="003B5DED"/>
    <w:rsid w:val="003B74C1"/>
    <w:rsid w:val="003B7A52"/>
    <w:rsid w:val="003B7B1C"/>
    <w:rsid w:val="003C0651"/>
    <w:rsid w:val="003C0768"/>
    <w:rsid w:val="003C0923"/>
    <w:rsid w:val="003C1997"/>
    <w:rsid w:val="003C2C27"/>
    <w:rsid w:val="003C30AA"/>
    <w:rsid w:val="003C39F6"/>
    <w:rsid w:val="003C3ACD"/>
    <w:rsid w:val="003C3B02"/>
    <w:rsid w:val="003C4560"/>
    <w:rsid w:val="003C4A64"/>
    <w:rsid w:val="003C4BDE"/>
    <w:rsid w:val="003C4C58"/>
    <w:rsid w:val="003C4CDB"/>
    <w:rsid w:val="003C5970"/>
    <w:rsid w:val="003C612D"/>
    <w:rsid w:val="003C647C"/>
    <w:rsid w:val="003C663C"/>
    <w:rsid w:val="003C71A0"/>
    <w:rsid w:val="003C7DCD"/>
    <w:rsid w:val="003C7F74"/>
    <w:rsid w:val="003D00D4"/>
    <w:rsid w:val="003D0220"/>
    <w:rsid w:val="003D0851"/>
    <w:rsid w:val="003D0C09"/>
    <w:rsid w:val="003D0E16"/>
    <w:rsid w:val="003D12EA"/>
    <w:rsid w:val="003D19BD"/>
    <w:rsid w:val="003D22D2"/>
    <w:rsid w:val="003D2BE0"/>
    <w:rsid w:val="003D336F"/>
    <w:rsid w:val="003D4355"/>
    <w:rsid w:val="003D483E"/>
    <w:rsid w:val="003D55F4"/>
    <w:rsid w:val="003D5603"/>
    <w:rsid w:val="003D5958"/>
    <w:rsid w:val="003D76D6"/>
    <w:rsid w:val="003D7916"/>
    <w:rsid w:val="003D7E63"/>
    <w:rsid w:val="003D7FAF"/>
    <w:rsid w:val="003E09D9"/>
    <w:rsid w:val="003E0F5C"/>
    <w:rsid w:val="003E1103"/>
    <w:rsid w:val="003E13D4"/>
    <w:rsid w:val="003E1426"/>
    <w:rsid w:val="003E257C"/>
    <w:rsid w:val="003E2DAD"/>
    <w:rsid w:val="003E36B3"/>
    <w:rsid w:val="003E3F20"/>
    <w:rsid w:val="003E485F"/>
    <w:rsid w:val="003E5B3C"/>
    <w:rsid w:val="003E5BAF"/>
    <w:rsid w:val="003E6040"/>
    <w:rsid w:val="003E6171"/>
    <w:rsid w:val="003E6C04"/>
    <w:rsid w:val="003F0495"/>
    <w:rsid w:val="003F0663"/>
    <w:rsid w:val="003F0CC6"/>
    <w:rsid w:val="003F23A6"/>
    <w:rsid w:val="003F2674"/>
    <w:rsid w:val="003F26F6"/>
    <w:rsid w:val="003F27B9"/>
    <w:rsid w:val="003F2C67"/>
    <w:rsid w:val="003F3269"/>
    <w:rsid w:val="003F376E"/>
    <w:rsid w:val="003F4368"/>
    <w:rsid w:val="003F485C"/>
    <w:rsid w:val="003F48A6"/>
    <w:rsid w:val="003F4958"/>
    <w:rsid w:val="003F5207"/>
    <w:rsid w:val="003F5F86"/>
    <w:rsid w:val="003F6456"/>
    <w:rsid w:val="003F73D9"/>
    <w:rsid w:val="003F7A23"/>
    <w:rsid w:val="003F7F95"/>
    <w:rsid w:val="0040050A"/>
    <w:rsid w:val="0040215A"/>
    <w:rsid w:val="0040237E"/>
    <w:rsid w:val="004026B8"/>
    <w:rsid w:val="00403CA7"/>
    <w:rsid w:val="00404651"/>
    <w:rsid w:val="004046C8"/>
    <w:rsid w:val="00404BEC"/>
    <w:rsid w:val="00405BD7"/>
    <w:rsid w:val="00405CF1"/>
    <w:rsid w:val="00405E14"/>
    <w:rsid w:val="0040615A"/>
    <w:rsid w:val="00406D4E"/>
    <w:rsid w:val="00407C58"/>
    <w:rsid w:val="00410476"/>
    <w:rsid w:val="004108AE"/>
    <w:rsid w:val="004121F7"/>
    <w:rsid w:val="004134F1"/>
    <w:rsid w:val="00414418"/>
    <w:rsid w:val="00414C0D"/>
    <w:rsid w:val="00415320"/>
    <w:rsid w:val="004153BC"/>
    <w:rsid w:val="004155E3"/>
    <w:rsid w:val="00415A6A"/>
    <w:rsid w:val="00416481"/>
    <w:rsid w:val="004164EC"/>
    <w:rsid w:val="00416763"/>
    <w:rsid w:val="00417B88"/>
    <w:rsid w:val="00420330"/>
    <w:rsid w:val="00420ED1"/>
    <w:rsid w:val="00422052"/>
    <w:rsid w:val="004223A6"/>
    <w:rsid w:val="004231BD"/>
    <w:rsid w:val="0042337B"/>
    <w:rsid w:val="00424E86"/>
    <w:rsid w:val="004250CD"/>
    <w:rsid w:val="00425686"/>
    <w:rsid w:val="00425918"/>
    <w:rsid w:val="004259D1"/>
    <w:rsid w:val="00425E6D"/>
    <w:rsid w:val="00426425"/>
    <w:rsid w:val="0042730F"/>
    <w:rsid w:val="0042781F"/>
    <w:rsid w:val="0043002A"/>
    <w:rsid w:val="004301F0"/>
    <w:rsid w:val="004303A0"/>
    <w:rsid w:val="00430527"/>
    <w:rsid w:val="00432793"/>
    <w:rsid w:val="0043289C"/>
    <w:rsid w:val="00432962"/>
    <w:rsid w:val="00432CD9"/>
    <w:rsid w:val="00432DED"/>
    <w:rsid w:val="00432E36"/>
    <w:rsid w:val="00433B5C"/>
    <w:rsid w:val="00433CFC"/>
    <w:rsid w:val="00434CF0"/>
    <w:rsid w:val="004352EA"/>
    <w:rsid w:val="0043565D"/>
    <w:rsid w:val="00435986"/>
    <w:rsid w:val="00436B1F"/>
    <w:rsid w:val="00437510"/>
    <w:rsid w:val="004401D6"/>
    <w:rsid w:val="00440234"/>
    <w:rsid w:val="00440DCE"/>
    <w:rsid w:val="00441669"/>
    <w:rsid w:val="004421EC"/>
    <w:rsid w:val="0044425A"/>
    <w:rsid w:val="0044433F"/>
    <w:rsid w:val="004453C4"/>
    <w:rsid w:val="004456F2"/>
    <w:rsid w:val="004458E7"/>
    <w:rsid w:val="0044594E"/>
    <w:rsid w:val="0044716D"/>
    <w:rsid w:val="0044755F"/>
    <w:rsid w:val="00447603"/>
    <w:rsid w:val="0044779F"/>
    <w:rsid w:val="00447AE8"/>
    <w:rsid w:val="00447C6F"/>
    <w:rsid w:val="0045044C"/>
    <w:rsid w:val="00450E72"/>
    <w:rsid w:val="0045209D"/>
    <w:rsid w:val="00452104"/>
    <w:rsid w:val="00452F37"/>
    <w:rsid w:val="0045363E"/>
    <w:rsid w:val="0045370D"/>
    <w:rsid w:val="00453B73"/>
    <w:rsid w:val="00454820"/>
    <w:rsid w:val="00454EDC"/>
    <w:rsid w:val="00455FB0"/>
    <w:rsid w:val="00456EC8"/>
    <w:rsid w:val="00457A14"/>
    <w:rsid w:val="004600B4"/>
    <w:rsid w:val="00461A8C"/>
    <w:rsid w:val="00461B9A"/>
    <w:rsid w:val="00462751"/>
    <w:rsid w:val="00463911"/>
    <w:rsid w:val="00463D20"/>
    <w:rsid w:val="004642D2"/>
    <w:rsid w:val="00464524"/>
    <w:rsid w:val="004653BE"/>
    <w:rsid w:val="00465DDF"/>
    <w:rsid w:val="00465E7B"/>
    <w:rsid w:val="004669C5"/>
    <w:rsid w:val="00466C98"/>
    <w:rsid w:val="00466DB9"/>
    <w:rsid w:val="00466E6A"/>
    <w:rsid w:val="00467D92"/>
    <w:rsid w:val="00470654"/>
    <w:rsid w:val="00470720"/>
    <w:rsid w:val="00470891"/>
    <w:rsid w:val="00472C9E"/>
    <w:rsid w:val="0047373E"/>
    <w:rsid w:val="004748EA"/>
    <w:rsid w:val="00475030"/>
    <w:rsid w:val="0047522E"/>
    <w:rsid w:val="00476579"/>
    <w:rsid w:val="00477EDE"/>
    <w:rsid w:val="00477F40"/>
    <w:rsid w:val="0048065D"/>
    <w:rsid w:val="00480B65"/>
    <w:rsid w:val="00480BFF"/>
    <w:rsid w:val="00481266"/>
    <w:rsid w:val="00481926"/>
    <w:rsid w:val="00481EB5"/>
    <w:rsid w:val="00482AC9"/>
    <w:rsid w:val="00482EC8"/>
    <w:rsid w:val="004832C3"/>
    <w:rsid w:val="004838AA"/>
    <w:rsid w:val="00484176"/>
    <w:rsid w:val="00484A6B"/>
    <w:rsid w:val="00484B67"/>
    <w:rsid w:val="00484EE4"/>
    <w:rsid w:val="00486603"/>
    <w:rsid w:val="004867F1"/>
    <w:rsid w:val="00487090"/>
    <w:rsid w:val="0048733A"/>
    <w:rsid w:val="0048768B"/>
    <w:rsid w:val="00487A76"/>
    <w:rsid w:val="00487C5E"/>
    <w:rsid w:val="0049011E"/>
    <w:rsid w:val="00491F92"/>
    <w:rsid w:val="00492C42"/>
    <w:rsid w:val="0049463E"/>
    <w:rsid w:val="004949C1"/>
    <w:rsid w:val="00494A73"/>
    <w:rsid w:val="00494FD5"/>
    <w:rsid w:val="00495102"/>
    <w:rsid w:val="00495E0B"/>
    <w:rsid w:val="00495ECB"/>
    <w:rsid w:val="00496524"/>
    <w:rsid w:val="0049696F"/>
    <w:rsid w:val="004976EE"/>
    <w:rsid w:val="004A0075"/>
    <w:rsid w:val="004A021B"/>
    <w:rsid w:val="004A1308"/>
    <w:rsid w:val="004A2B0B"/>
    <w:rsid w:val="004A4AC1"/>
    <w:rsid w:val="004A50C4"/>
    <w:rsid w:val="004A5419"/>
    <w:rsid w:val="004A5B4C"/>
    <w:rsid w:val="004A5BC2"/>
    <w:rsid w:val="004A64A7"/>
    <w:rsid w:val="004A6972"/>
    <w:rsid w:val="004A784F"/>
    <w:rsid w:val="004A7BF0"/>
    <w:rsid w:val="004B01FE"/>
    <w:rsid w:val="004B0A5B"/>
    <w:rsid w:val="004B0EFF"/>
    <w:rsid w:val="004B1415"/>
    <w:rsid w:val="004B2167"/>
    <w:rsid w:val="004B2B1F"/>
    <w:rsid w:val="004B39B7"/>
    <w:rsid w:val="004B3C84"/>
    <w:rsid w:val="004B3D7C"/>
    <w:rsid w:val="004B4D3C"/>
    <w:rsid w:val="004B50AA"/>
    <w:rsid w:val="004B54F2"/>
    <w:rsid w:val="004B5545"/>
    <w:rsid w:val="004B5DCB"/>
    <w:rsid w:val="004B62B9"/>
    <w:rsid w:val="004B6772"/>
    <w:rsid w:val="004B6C28"/>
    <w:rsid w:val="004B7065"/>
    <w:rsid w:val="004C031C"/>
    <w:rsid w:val="004C3038"/>
    <w:rsid w:val="004C31C3"/>
    <w:rsid w:val="004C35A9"/>
    <w:rsid w:val="004C462B"/>
    <w:rsid w:val="004C527A"/>
    <w:rsid w:val="004C63DA"/>
    <w:rsid w:val="004C6924"/>
    <w:rsid w:val="004C6A8C"/>
    <w:rsid w:val="004D0ED5"/>
    <w:rsid w:val="004D1B8E"/>
    <w:rsid w:val="004D1BA3"/>
    <w:rsid w:val="004D1D56"/>
    <w:rsid w:val="004D27F8"/>
    <w:rsid w:val="004D2931"/>
    <w:rsid w:val="004D2B3F"/>
    <w:rsid w:val="004D356A"/>
    <w:rsid w:val="004D3A1D"/>
    <w:rsid w:val="004D3B7A"/>
    <w:rsid w:val="004D400A"/>
    <w:rsid w:val="004D4180"/>
    <w:rsid w:val="004D41C6"/>
    <w:rsid w:val="004D44B7"/>
    <w:rsid w:val="004D4910"/>
    <w:rsid w:val="004D591A"/>
    <w:rsid w:val="004D635F"/>
    <w:rsid w:val="004E094E"/>
    <w:rsid w:val="004E17DD"/>
    <w:rsid w:val="004E2FDB"/>
    <w:rsid w:val="004E3BA6"/>
    <w:rsid w:val="004E3CC5"/>
    <w:rsid w:val="004E4503"/>
    <w:rsid w:val="004E54E8"/>
    <w:rsid w:val="004E56DE"/>
    <w:rsid w:val="004E5C6D"/>
    <w:rsid w:val="004E60B8"/>
    <w:rsid w:val="004E74A2"/>
    <w:rsid w:val="004F0057"/>
    <w:rsid w:val="004F0063"/>
    <w:rsid w:val="004F039A"/>
    <w:rsid w:val="004F0707"/>
    <w:rsid w:val="004F10D4"/>
    <w:rsid w:val="004F119E"/>
    <w:rsid w:val="004F11FC"/>
    <w:rsid w:val="004F12F9"/>
    <w:rsid w:val="004F177B"/>
    <w:rsid w:val="004F1AA0"/>
    <w:rsid w:val="004F1D3C"/>
    <w:rsid w:val="004F1F1D"/>
    <w:rsid w:val="004F22E9"/>
    <w:rsid w:val="004F2A5F"/>
    <w:rsid w:val="004F2EB5"/>
    <w:rsid w:val="004F32C7"/>
    <w:rsid w:val="004F3877"/>
    <w:rsid w:val="004F3D32"/>
    <w:rsid w:val="004F4602"/>
    <w:rsid w:val="004F533D"/>
    <w:rsid w:val="004F6412"/>
    <w:rsid w:val="004F65E8"/>
    <w:rsid w:val="004F6B3A"/>
    <w:rsid w:val="004F6D99"/>
    <w:rsid w:val="004F711E"/>
    <w:rsid w:val="0050009D"/>
    <w:rsid w:val="005000B4"/>
    <w:rsid w:val="00500751"/>
    <w:rsid w:val="00500F9E"/>
    <w:rsid w:val="00501953"/>
    <w:rsid w:val="00501D68"/>
    <w:rsid w:val="0050213F"/>
    <w:rsid w:val="0050322C"/>
    <w:rsid w:val="00503382"/>
    <w:rsid w:val="0050352B"/>
    <w:rsid w:val="00503D55"/>
    <w:rsid w:val="00503EF3"/>
    <w:rsid w:val="0050493A"/>
    <w:rsid w:val="00504F41"/>
    <w:rsid w:val="00506EAD"/>
    <w:rsid w:val="00510CB1"/>
    <w:rsid w:val="00511576"/>
    <w:rsid w:val="005116FD"/>
    <w:rsid w:val="005118F1"/>
    <w:rsid w:val="0051224D"/>
    <w:rsid w:val="005127C0"/>
    <w:rsid w:val="005129C2"/>
    <w:rsid w:val="005136F3"/>
    <w:rsid w:val="00513788"/>
    <w:rsid w:val="00514B3D"/>
    <w:rsid w:val="00515378"/>
    <w:rsid w:val="005159D5"/>
    <w:rsid w:val="00515E5F"/>
    <w:rsid w:val="005170CD"/>
    <w:rsid w:val="0051754F"/>
    <w:rsid w:val="00520216"/>
    <w:rsid w:val="0052028B"/>
    <w:rsid w:val="005204D1"/>
    <w:rsid w:val="00520626"/>
    <w:rsid w:val="00520A64"/>
    <w:rsid w:val="00520D65"/>
    <w:rsid w:val="005212A0"/>
    <w:rsid w:val="005217BA"/>
    <w:rsid w:val="005218B7"/>
    <w:rsid w:val="005225EF"/>
    <w:rsid w:val="005227E3"/>
    <w:rsid w:val="00522A0C"/>
    <w:rsid w:val="005234D7"/>
    <w:rsid w:val="005235A4"/>
    <w:rsid w:val="00524201"/>
    <w:rsid w:val="00524CC6"/>
    <w:rsid w:val="00524CC8"/>
    <w:rsid w:val="005254E8"/>
    <w:rsid w:val="005262CC"/>
    <w:rsid w:val="005268A9"/>
    <w:rsid w:val="005269A4"/>
    <w:rsid w:val="005269D6"/>
    <w:rsid w:val="0052704C"/>
    <w:rsid w:val="0052716D"/>
    <w:rsid w:val="005307BF"/>
    <w:rsid w:val="00531018"/>
    <w:rsid w:val="005314CA"/>
    <w:rsid w:val="00531FAD"/>
    <w:rsid w:val="005325AE"/>
    <w:rsid w:val="00532C61"/>
    <w:rsid w:val="00532E3F"/>
    <w:rsid w:val="005330D3"/>
    <w:rsid w:val="005348B8"/>
    <w:rsid w:val="005357AC"/>
    <w:rsid w:val="00535A3D"/>
    <w:rsid w:val="00536382"/>
    <w:rsid w:val="0053672E"/>
    <w:rsid w:val="005372C8"/>
    <w:rsid w:val="005376C3"/>
    <w:rsid w:val="005401E2"/>
    <w:rsid w:val="00540833"/>
    <w:rsid w:val="00540B9F"/>
    <w:rsid w:val="00540E47"/>
    <w:rsid w:val="005414A0"/>
    <w:rsid w:val="00541A16"/>
    <w:rsid w:val="0054252C"/>
    <w:rsid w:val="00542643"/>
    <w:rsid w:val="00542818"/>
    <w:rsid w:val="00542F8E"/>
    <w:rsid w:val="0054361D"/>
    <w:rsid w:val="0054373E"/>
    <w:rsid w:val="00543AB9"/>
    <w:rsid w:val="00543BC5"/>
    <w:rsid w:val="00544D1F"/>
    <w:rsid w:val="005461BE"/>
    <w:rsid w:val="0054631B"/>
    <w:rsid w:val="00546362"/>
    <w:rsid w:val="005470F8"/>
    <w:rsid w:val="005500C3"/>
    <w:rsid w:val="00550386"/>
    <w:rsid w:val="00550465"/>
    <w:rsid w:val="00550725"/>
    <w:rsid w:val="0055112A"/>
    <w:rsid w:val="00551178"/>
    <w:rsid w:val="00551595"/>
    <w:rsid w:val="00551743"/>
    <w:rsid w:val="00551D3E"/>
    <w:rsid w:val="005522F1"/>
    <w:rsid w:val="00552982"/>
    <w:rsid w:val="00552998"/>
    <w:rsid w:val="00552ED5"/>
    <w:rsid w:val="00553048"/>
    <w:rsid w:val="00553555"/>
    <w:rsid w:val="00553600"/>
    <w:rsid w:val="00554643"/>
    <w:rsid w:val="005549A0"/>
    <w:rsid w:val="00554BA6"/>
    <w:rsid w:val="00554BAA"/>
    <w:rsid w:val="0055535F"/>
    <w:rsid w:val="00555CD4"/>
    <w:rsid w:val="005562C6"/>
    <w:rsid w:val="00556A16"/>
    <w:rsid w:val="00556D02"/>
    <w:rsid w:val="005573D6"/>
    <w:rsid w:val="0055797E"/>
    <w:rsid w:val="005608CE"/>
    <w:rsid w:val="00563DE6"/>
    <w:rsid w:val="0056466B"/>
    <w:rsid w:val="005655A0"/>
    <w:rsid w:val="005658A2"/>
    <w:rsid w:val="00565F58"/>
    <w:rsid w:val="005665AB"/>
    <w:rsid w:val="00566A8C"/>
    <w:rsid w:val="00566F79"/>
    <w:rsid w:val="0056713D"/>
    <w:rsid w:val="0056715F"/>
    <w:rsid w:val="005678BE"/>
    <w:rsid w:val="00567C98"/>
    <w:rsid w:val="00570B65"/>
    <w:rsid w:val="00571C78"/>
    <w:rsid w:val="005720F5"/>
    <w:rsid w:val="0057230C"/>
    <w:rsid w:val="00572D22"/>
    <w:rsid w:val="00573282"/>
    <w:rsid w:val="005739EC"/>
    <w:rsid w:val="00574FBC"/>
    <w:rsid w:val="005754DF"/>
    <w:rsid w:val="00575636"/>
    <w:rsid w:val="00575A00"/>
    <w:rsid w:val="00575BC5"/>
    <w:rsid w:val="0057679F"/>
    <w:rsid w:val="0057707D"/>
    <w:rsid w:val="005776DF"/>
    <w:rsid w:val="00577A2C"/>
    <w:rsid w:val="00580484"/>
    <w:rsid w:val="005806DD"/>
    <w:rsid w:val="005814B7"/>
    <w:rsid w:val="00581574"/>
    <w:rsid w:val="005817A3"/>
    <w:rsid w:val="00581A40"/>
    <w:rsid w:val="00582957"/>
    <w:rsid w:val="00582C7F"/>
    <w:rsid w:val="0058325A"/>
    <w:rsid w:val="0058346E"/>
    <w:rsid w:val="005834F6"/>
    <w:rsid w:val="00583E5F"/>
    <w:rsid w:val="00584472"/>
    <w:rsid w:val="005859B2"/>
    <w:rsid w:val="0058636B"/>
    <w:rsid w:val="0058651E"/>
    <w:rsid w:val="00586560"/>
    <w:rsid w:val="0058664F"/>
    <w:rsid w:val="0058689E"/>
    <w:rsid w:val="00586AF3"/>
    <w:rsid w:val="00587163"/>
    <w:rsid w:val="00587A29"/>
    <w:rsid w:val="00587B87"/>
    <w:rsid w:val="00587DC4"/>
    <w:rsid w:val="005900AE"/>
    <w:rsid w:val="005911D2"/>
    <w:rsid w:val="00591211"/>
    <w:rsid w:val="00591292"/>
    <w:rsid w:val="005912B3"/>
    <w:rsid w:val="00591E19"/>
    <w:rsid w:val="00592AB4"/>
    <w:rsid w:val="005935B1"/>
    <w:rsid w:val="00594300"/>
    <w:rsid w:val="005947B6"/>
    <w:rsid w:val="00594A75"/>
    <w:rsid w:val="005951DC"/>
    <w:rsid w:val="0059532F"/>
    <w:rsid w:val="00595336"/>
    <w:rsid w:val="005955AF"/>
    <w:rsid w:val="00596290"/>
    <w:rsid w:val="005963FB"/>
    <w:rsid w:val="00596B25"/>
    <w:rsid w:val="00596D12"/>
    <w:rsid w:val="00597C9B"/>
    <w:rsid w:val="005A02D1"/>
    <w:rsid w:val="005A10BA"/>
    <w:rsid w:val="005A25A6"/>
    <w:rsid w:val="005A2A05"/>
    <w:rsid w:val="005A2EEB"/>
    <w:rsid w:val="005A380B"/>
    <w:rsid w:val="005A4264"/>
    <w:rsid w:val="005A4859"/>
    <w:rsid w:val="005A55D1"/>
    <w:rsid w:val="005A5B83"/>
    <w:rsid w:val="005A63D1"/>
    <w:rsid w:val="005A65FB"/>
    <w:rsid w:val="005A6D19"/>
    <w:rsid w:val="005A7353"/>
    <w:rsid w:val="005A7546"/>
    <w:rsid w:val="005A793F"/>
    <w:rsid w:val="005B02B5"/>
    <w:rsid w:val="005B2826"/>
    <w:rsid w:val="005B3079"/>
    <w:rsid w:val="005B3D6C"/>
    <w:rsid w:val="005B48E3"/>
    <w:rsid w:val="005B5013"/>
    <w:rsid w:val="005B513E"/>
    <w:rsid w:val="005B75A9"/>
    <w:rsid w:val="005B788F"/>
    <w:rsid w:val="005C0242"/>
    <w:rsid w:val="005C0309"/>
    <w:rsid w:val="005C07F5"/>
    <w:rsid w:val="005C0A14"/>
    <w:rsid w:val="005C13BC"/>
    <w:rsid w:val="005C2B97"/>
    <w:rsid w:val="005C37AE"/>
    <w:rsid w:val="005C3D8A"/>
    <w:rsid w:val="005C401A"/>
    <w:rsid w:val="005C4C6A"/>
    <w:rsid w:val="005C4F66"/>
    <w:rsid w:val="005C54EE"/>
    <w:rsid w:val="005C691E"/>
    <w:rsid w:val="005D1091"/>
    <w:rsid w:val="005D1E37"/>
    <w:rsid w:val="005D25F2"/>
    <w:rsid w:val="005D2851"/>
    <w:rsid w:val="005D2CF5"/>
    <w:rsid w:val="005D3F6E"/>
    <w:rsid w:val="005D4AD0"/>
    <w:rsid w:val="005D578F"/>
    <w:rsid w:val="005D5931"/>
    <w:rsid w:val="005D63B2"/>
    <w:rsid w:val="005D6FDD"/>
    <w:rsid w:val="005D7A0C"/>
    <w:rsid w:val="005E0854"/>
    <w:rsid w:val="005E09E9"/>
    <w:rsid w:val="005E0B44"/>
    <w:rsid w:val="005E229D"/>
    <w:rsid w:val="005E3EB5"/>
    <w:rsid w:val="005E470B"/>
    <w:rsid w:val="005E47FC"/>
    <w:rsid w:val="005E5336"/>
    <w:rsid w:val="005E5720"/>
    <w:rsid w:val="005E5A63"/>
    <w:rsid w:val="005E5A69"/>
    <w:rsid w:val="005E5C50"/>
    <w:rsid w:val="005E5E37"/>
    <w:rsid w:val="005E60F2"/>
    <w:rsid w:val="005E6517"/>
    <w:rsid w:val="005E657F"/>
    <w:rsid w:val="005E6758"/>
    <w:rsid w:val="005E730F"/>
    <w:rsid w:val="005E75B8"/>
    <w:rsid w:val="005F149E"/>
    <w:rsid w:val="005F197E"/>
    <w:rsid w:val="005F1AE7"/>
    <w:rsid w:val="005F2E6A"/>
    <w:rsid w:val="005F2F70"/>
    <w:rsid w:val="005F3DBC"/>
    <w:rsid w:val="005F4820"/>
    <w:rsid w:val="005F4ACF"/>
    <w:rsid w:val="005F4FDE"/>
    <w:rsid w:val="005F6C80"/>
    <w:rsid w:val="005F6EBB"/>
    <w:rsid w:val="005F7456"/>
    <w:rsid w:val="005F7CBE"/>
    <w:rsid w:val="005F7CF6"/>
    <w:rsid w:val="005F7FD1"/>
    <w:rsid w:val="00600091"/>
    <w:rsid w:val="0060063D"/>
    <w:rsid w:val="00600A70"/>
    <w:rsid w:val="00601DB7"/>
    <w:rsid w:val="00601E77"/>
    <w:rsid w:val="0060222A"/>
    <w:rsid w:val="00602D1F"/>
    <w:rsid w:val="00603B12"/>
    <w:rsid w:val="00603D48"/>
    <w:rsid w:val="00603F81"/>
    <w:rsid w:val="006040B0"/>
    <w:rsid w:val="00606012"/>
    <w:rsid w:val="0060638F"/>
    <w:rsid w:val="0060670F"/>
    <w:rsid w:val="006067FD"/>
    <w:rsid w:val="00606FFB"/>
    <w:rsid w:val="006074FB"/>
    <w:rsid w:val="00607A55"/>
    <w:rsid w:val="00610075"/>
    <w:rsid w:val="00610CE8"/>
    <w:rsid w:val="006111A4"/>
    <w:rsid w:val="00611DA5"/>
    <w:rsid w:val="00612295"/>
    <w:rsid w:val="00614329"/>
    <w:rsid w:val="006145C4"/>
    <w:rsid w:val="00614611"/>
    <w:rsid w:val="006151C9"/>
    <w:rsid w:val="006159CC"/>
    <w:rsid w:val="00615F9F"/>
    <w:rsid w:val="00616DA0"/>
    <w:rsid w:val="00616DEA"/>
    <w:rsid w:val="006214F3"/>
    <w:rsid w:val="006216F3"/>
    <w:rsid w:val="00621B85"/>
    <w:rsid w:val="00621C20"/>
    <w:rsid w:val="006225C2"/>
    <w:rsid w:val="006227C1"/>
    <w:rsid w:val="006227F5"/>
    <w:rsid w:val="00622832"/>
    <w:rsid w:val="00622EE4"/>
    <w:rsid w:val="00623054"/>
    <w:rsid w:val="00623457"/>
    <w:rsid w:val="0062349E"/>
    <w:rsid w:val="00623657"/>
    <w:rsid w:val="00623BE3"/>
    <w:rsid w:val="00624077"/>
    <w:rsid w:val="00624757"/>
    <w:rsid w:val="006248FE"/>
    <w:rsid w:val="006251B3"/>
    <w:rsid w:val="0062654D"/>
    <w:rsid w:val="00627012"/>
    <w:rsid w:val="0062770A"/>
    <w:rsid w:val="00627B71"/>
    <w:rsid w:val="00630659"/>
    <w:rsid w:val="0063183C"/>
    <w:rsid w:val="006328EC"/>
    <w:rsid w:val="00632ADA"/>
    <w:rsid w:val="00632DE5"/>
    <w:rsid w:val="00633C63"/>
    <w:rsid w:val="00633C90"/>
    <w:rsid w:val="00633F26"/>
    <w:rsid w:val="0063420D"/>
    <w:rsid w:val="00634579"/>
    <w:rsid w:val="00635A10"/>
    <w:rsid w:val="00635D5D"/>
    <w:rsid w:val="006360AF"/>
    <w:rsid w:val="00636745"/>
    <w:rsid w:val="00636A40"/>
    <w:rsid w:val="00636F6E"/>
    <w:rsid w:val="00637994"/>
    <w:rsid w:val="006405A1"/>
    <w:rsid w:val="006407F2"/>
    <w:rsid w:val="00641000"/>
    <w:rsid w:val="00641463"/>
    <w:rsid w:val="0064146F"/>
    <w:rsid w:val="00641DAE"/>
    <w:rsid w:val="00641DD8"/>
    <w:rsid w:val="00641E24"/>
    <w:rsid w:val="00641E86"/>
    <w:rsid w:val="006436ED"/>
    <w:rsid w:val="0064384B"/>
    <w:rsid w:val="00643924"/>
    <w:rsid w:val="0064405C"/>
    <w:rsid w:val="00644E44"/>
    <w:rsid w:val="00645354"/>
    <w:rsid w:val="0064543F"/>
    <w:rsid w:val="00645FC7"/>
    <w:rsid w:val="0064658E"/>
    <w:rsid w:val="0064687B"/>
    <w:rsid w:val="00647478"/>
    <w:rsid w:val="0065066E"/>
    <w:rsid w:val="006506C0"/>
    <w:rsid w:val="00650B60"/>
    <w:rsid w:val="00650B65"/>
    <w:rsid w:val="00650B6D"/>
    <w:rsid w:val="00650C06"/>
    <w:rsid w:val="006517D7"/>
    <w:rsid w:val="00652B50"/>
    <w:rsid w:val="00652DB0"/>
    <w:rsid w:val="0065360C"/>
    <w:rsid w:val="00655107"/>
    <w:rsid w:val="006552F6"/>
    <w:rsid w:val="00655594"/>
    <w:rsid w:val="00655FEC"/>
    <w:rsid w:val="0065647F"/>
    <w:rsid w:val="006570EB"/>
    <w:rsid w:val="006570FC"/>
    <w:rsid w:val="006579E9"/>
    <w:rsid w:val="00657D0B"/>
    <w:rsid w:val="006610C5"/>
    <w:rsid w:val="0066202F"/>
    <w:rsid w:val="00662074"/>
    <w:rsid w:val="0066275F"/>
    <w:rsid w:val="0066286E"/>
    <w:rsid w:val="00663F4D"/>
    <w:rsid w:val="0066471D"/>
    <w:rsid w:val="006649AA"/>
    <w:rsid w:val="00666081"/>
    <w:rsid w:val="0066664F"/>
    <w:rsid w:val="00666714"/>
    <w:rsid w:val="006667F6"/>
    <w:rsid w:val="00667466"/>
    <w:rsid w:val="00667DB7"/>
    <w:rsid w:val="00667F18"/>
    <w:rsid w:val="006704A4"/>
    <w:rsid w:val="00671549"/>
    <w:rsid w:val="00671C26"/>
    <w:rsid w:val="006725F8"/>
    <w:rsid w:val="006736C0"/>
    <w:rsid w:val="00674156"/>
    <w:rsid w:val="006753C6"/>
    <w:rsid w:val="00675EB3"/>
    <w:rsid w:val="006761D9"/>
    <w:rsid w:val="00676778"/>
    <w:rsid w:val="00676BDF"/>
    <w:rsid w:val="00676E43"/>
    <w:rsid w:val="006771AE"/>
    <w:rsid w:val="0067778A"/>
    <w:rsid w:val="00680566"/>
    <w:rsid w:val="00681265"/>
    <w:rsid w:val="00681CB8"/>
    <w:rsid w:val="0068295D"/>
    <w:rsid w:val="00682A1B"/>
    <w:rsid w:val="00683A31"/>
    <w:rsid w:val="00683E89"/>
    <w:rsid w:val="00684B49"/>
    <w:rsid w:val="0068632F"/>
    <w:rsid w:val="00686353"/>
    <w:rsid w:val="00686BBA"/>
    <w:rsid w:val="00686EA9"/>
    <w:rsid w:val="006870BA"/>
    <w:rsid w:val="0068769F"/>
    <w:rsid w:val="00687DDE"/>
    <w:rsid w:val="00687F08"/>
    <w:rsid w:val="006914D3"/>
    <w:rsid w:val="00691C0C"/>
    <w:rsid w:val="00692557"/>
    <w:rsid w:val="00693EF5"/>
    <w:rsid w:val="00694362"/>
    <w:rsid w:val="006944C2"/>
    <w:rsid w:val="00695FDE"/>
    <w:rsid w:val="00696C65"/>
    <w:rsid w:val="0069770C"/>
    <w:rsid w:val="00697814"/>
    <w:rsid w:val="00697BE7"/>
    <w:rsid w:val="00697FEE"/>
    <w:rsid w:val="006A056D"/>
    <w:rsid w:val="006A0882"/>
    <w:rsid w:val="006A172F"/>
    <w:rsid w:val="006A2222"/>
    <w:rsid w:val="006A2FB9"/>
    <w:rsid w:val="006A3611"/>
    <w:rsid w:val="006A3DE5"/>
    <w:rsid w:val="006A49E5"/>
    <w:rsid w:val="006A554D"/>
    <w:rsid w:val="006A683E"/>
    <w:rsid w:val="006A789F"/>
    <w:rsid w:val="006B0304"/>
    <w:rsid w:val="006B0323"/>
    <w:rsid w:val="006B07B5"/>
    <w:rsid w:val="006B1760"/>
    <w:rsid w:val="006B24B2"/>
    <w:rsid w:val="006B2AD0"/>
    <w:rsid w:val="006B2D97"/>
    <w:rsid w:val="006B333D"/>
    <w:rsid w:val="006B33B1"/>
    <w:rsid w:val="006B3EBA"/>
    <w:rsid w:val="006B4583"/>
    <w:rsid w:val="006B464D"/>
    <w:rsid w:val="006B4B9B"/>
    <w:rsid w:val="006B56CB"/>
    <w:rsid w:val="006B61A6"/>
    <w:rsid w:val="006B689F"/>
    <w:rsid w:val="006B6BBC"/>
    <w:rsid w:val="006B72C6"/>
    <w:rsid w:val="006B74B9"/>
    <w:rsid w:val="006B7928"/>
    <w:rsid w:val="006B797D"/>
    <w:rsid w:val="006B79B1"/>
    <w:rsid w:val="006B7F29"/>
    <w:rsid w:val="006C057E"/>
    <w:rsid w:val="006C06BD"/>
    <w:rsid w:val="006C118F"/>
    <w:rsid w:val="006C13A8"/>
    <w:rsid w:val="006C15C4"/>
    <w:rsid w:val="006C19B8"/>
    <w:rsid w:val="006C1FDD"/>
    <w:rsid w:val="006C28B4"/>
    <w:rsid w:val="006C352D"/>
    <w:rsid w:val="006C3B66"/>
    <w:rsid w:val="006C3E01"/>
    <w:rsid w:val="006C4993"/>
    <w:rsid w:val="006C6289"/>
    <w:rsid w:val="006C6319"/>
    <w:rsid w:val="006C63AE"/>
    <w:rsid w:val="006C6E2C"/>
    <w:rsid w:val="006C71CA"/>
    <w:rsid w:val="006C73D1"/>
    <w:rsid w:val="006C7519"/>
    <w:rsid w:val="006C7722"/>
    <w:rsid w:val="006C77D0"/>
    <w:rsid w:val="006C7B0A"/>
    <w:rsid w:val="006C7C9B"/>
    <w:rsid w:val="006D01A5"/>
    <w:rsid w:val="006D05E5"/>
    <w:rsid w:val="006D0F5E"/>
    <w:rsid w:val="006D14D1"/>
    <w:rsid w:val="006D1B20"/>
    <w:rsid w:val="006D1E26"/>
    <w:rsid w:val="006D2D80"/>
    <w:rsid w:val="006D3302"/>
    <w:rsid w:val="006D36A6"/>
    <w:rsid w:val="006D3A21"/>
    <w:rsid w:val="006D3E3A"/>
    <w:rsid w:val="006D45F6"/>
    <w:rsid w:val="006D5110"/>
    <w:rsid w:val="006D5178"/>
    <w:rsid w:val="006D57B0"/>
    <w:rsid w:val="006D5A37"/>
    <w:rsid w:val="006D5CD9"/>
    <w:rsid w:val="006D622D"/>
    <w:rsid w:val="006D65C1"/>
    <w:rsid w:val="006D6936"/>
    <w:rsid w:val="006D7CDD"/>
    <w:rsid w:val="006E019A"/>
    <w:rsid w:val="006E0A99"/>
    <w:rsid w:val="006E0F9C"/>
    <w:rsid w:val="006E12E5"/>
    <w:rsid w:val="006E149D"/>
    <w:rsid w:val="006E1D7F"/>
    <w:rsid w:val="006E2702"/>
    <w:rsid w:val="006E3151"/>
    <w:rsid w:val="006E3A42"/>
    <w:rsid w:val="006E3E06"/>
    <w:rsid w:val="006E49F6"/>
    <w:rsid w:val="006E5456"/>
    <w:rsid w:val="006E7013"/>
    <w:rsid w:val="006E7E93"/>
    <w:rsid w:val="006F0813"/>
    <w:rsid w:val="006F0CCE"/>
    <w:rsid w:val="006F0E10"/>
    <w:rsid w:val="006F2571"/>
    <w:rsid w:val="006F34AC"/>
    <w:rsid w:val="006F395A"/>
    <w:rsid w:val="006F40FA"/>
    <w:rsid w:val="006F4393"/>
    <w:rsid w:val="006F5B7F"/>
    <w:rsid w:val="006F7692"/>
    <w:rsid w:val="006F7934"/>
    <w:rsid w:val="006F7B4A"/>
    <w:rsid w:val="006F7C7F"/>
    <w:rsid w:val="00700414"/>
    <w:rsid w:val="00700A11"/>
    <w:rsid w:val="00701086"/>
    <w:rsid w:val="007015DC"/>
    <w:rsid w:val="007018F1"/>
    <w:rsid w:val="00701AAE"/>
    <w:rsid w:val="00701D06"/>
    <w:rsid w:val="00702BBE"/>
    <w:rsid w:val="00703002"/>
    <w:rsid w:val="00703759"/>
    <w:rsid w:val="0070435A"/>
    <w:rsid w:val="00704CA3"/>
    <w:rsid w:val="007052F5"/>
    <w:rsid w:val="00706D41"/>
    <w:rsid w:val="00706EFB"/>
    <w:rsid w:val="0070749B"/>
    <w:rsid w:val="00707743"/>
    <w:rsid w:val="00710546"/>
    <w:rsid w:val="0071069D"/>
    <w:rsid w:val="00710A5A"/>
    <w:rsid w:val="00710B81"/>
    <w:rsid w:val="00711A6B"/>
    <w:rsid w:val="00711D0D"/>
    <w:rsid w:val="0071271C"/>
    <w:rsid w:val="00712870"/>
    <w:rsid w:val="00712B2A"/>
    <w:rsid w:val="00713156"/>
    <w:rsid w:val="0071358A"/>
    <w:rsid w:val="0071409D"/>
    <w:rsid w:val="00714C0A"/>
    <w:rsid w:val="00714FB4"/>
    <w:rsid w:val="0071583F"/>
    <w:rsid w:val="00715B29"/>
    <w:rsid w:val="00715DC2"/>
    <w:rsid w:val="00716F20"/>
    <w:rsid w:val="00716FB9"/>
    <w:rsid w:val="007177C7"/>
    <w:rsid w:val="00717AA2"/>
    <w:rsid w:val="00717D38"/>
    <w:rsid w:val="007202D0"/>
    <w:rsid w:val="007202ED"/>
    <w:rsid w:val="00720535"/>
    <w:rsid w:val="0072120A"/>
    <w:rsid w:val="00721C7F"/>
    <w:rsid w:val="00721FAB"/>
    <w:rsid w:val="0072202E"/>
    <w:rsid w:val="007221CC"/>
    <w:rsid w:val="007225AA"/>
    <w:rsid w:val="00723319"/>
    <w:rsid w:val="0072415D"/>
    <w:rsid w:val="007247BB"/>
    <w:rsid w:val="007248F9"/>
    <w:rsid w:val="007251F1"/>
    <w:rsid w:val="0072580B"/>
    <w:rsid w:val="00726178"/>
    <w:rsid w:val="00726816"/>
    <w:rsid w:val="00730950"/>
    <w:rsid w:val="00730B96"/>
    <w:rsid w:val="0073118E"/>
    <w:rsid w:val="007327B9"/>
    <w:rsid w:val="0073294E"/>
    <w:rsid w:val="007331BF"/>
    <w:rsid w:val="007339A6"/>
    <w:rsid w:val="00733EB2"/>
    <w:rsid w:val="007342A2"/>
    <w:rsid w:val="00734452"/>
    <w:rsid w:val="00735DDF"/>
    <w:rsid w:val="00736DB7"/>
    <w:rsid w:val="00736DEF"/>
    <w:rsid w:val="00736EF6"/>
    <w:rsid w:val="0073742B"/>
    <w:rsid w:val="0073754A"/>
    <w:rsid w:val="00740510"/>
    <w:rsid w:val="00741120"/>
    <w:rsid w:val="007413DE"/>
    <w:rsid w:val="007416CD"/>
    <w:rsid w:val="007416CE"/>
    <w:rsid w:val="00741766"/>
    <w:rsid w:val="00741910"/>
    <w:rsid w:val="00741ABD"/>
    <w:rsid w:val="00742EFC"/>
    <w:rsid w:val="00744366"/>
    <w:rsid w:val="00745FB8"/>
    <w:rsid w:val="0074647E"/>
    <w:rsid w:val="007478EE"/>
    <w:rsid w:val="0075078E"/>
    <w:rsid w:val="00750D9E"/>
    <w:rsid w:val="00751B67"/>
    <w:rsid w:val="00752340"/>
    <w:rsid w:val="00752F36"/>
    <w:rsid w:val="007531C8"/>
    <w:rsid w:val="007534D3"/>
    <w:rsid w:val="0075395E"/>
    <w:rsid w:val="00753B7C"/>
    <w:rsid w:val="00754B46"/>
    <w:rsid w:val="00755E49"/>
    <w:rsid w:val="00756FE5"/>
    <w:rsid w:val="0075763A"/>
    <w:rsid w:val="007603D3"/>
    <w:rsid w:val="007610A3"/>
    <w:rsid w:val="00761F34"/>
    <w:rsid w:val="00762216"/>
    <w:rsid w:val="00762400"/>
    <w:rsid w:val="0076313E"/>
    <w:rsid w:val="007633A0"/>
    <w:rsid w:val="007640D9"/>
    <w:rsid w:val="00764B85"/>
    <w:rsid w:val="0076529F"/>
    <w:rsid w:val="007654B2"/>
    <w:rsid w:val="007670EE"/>
    <w:rsid w:val="007672D1"/>
    <w:rsid w:val="00767641"/>
    <w:rsid w:val="007678BA"/>
    <w:rsid w:val="00770040"/>
    <w:rsid w:val="00770D36"/>
    <w:rsid w:val="00771B02"/>
    <w:rsid w:val="007722D0"/>
    <w:rsid w:val="0077315B"/>
    <w:rsid w:val="0077554D"/>
    <w:rsid w:val="00776352"/>
    <w:rsid w:val="00776F52"/>
    <w:rsid w:val="00777214"/>
    <w:rsid w:val="00777AE2"/>
    <w:rsid w:val="00777BF3"/>
    <w:rsid w:val="00780284"/>
    <w:rsid w:val="00780A9C"/>
    <w:rsid w:val="00781A81"/>
    <w:rsid w:val="00781B6C"/>
    <w:rsid w:val="00781F67"/>
    <w:rsid w:val="0078214E"/>
    <w:rsid w:val="0078557F"/>
    <w:rsid w:val="00785D4A"/>
    <w:rsid w:val="00786398"/>
    <w:rsid w:val="007871DA"/>
    <w:rsid w:val="0078774D"/>
    <w:rsid w:val="007905D5"/>
    <w:rsid w:val="0079079A"/>
    <w:rsid w:val="00790BDC"/>
    <w:rsid w:val="00790F4F"/>
    <w:rsid w:val="00791370"/>
    <w:rsid w:val="0079198A"/>
    <w:rsid w:val="00791E29"/>
    <w:rsid w:val="00792075"/>
    <w:rsid w:val="0079264D"/>
    <w:rsid w:val="00794F0C"/>
    <w:rsid w:val="00795DFB"/>
    <w:rsid w:val="00796465"/>
    <w:rsid w:val="00796952"/>
    <w:rsid w:val="00796B24"/>
    <w:rsid w:val="00796E42"/>
    <w:rsid w:val="007974C7"/>
    <w:rsid w:val="00797C9A"/>
    <w:rsid w:val="007A1CDF"/>
    <w:rsid w:val="007A28AA"/>
    <w:rsid w:val="007A2B6C"/>
    <w:rsid w:val="007A3413"/>
    <w:rsid w:val="007A36DB"/>
    <w:rsid w:val="007A3BD5"/>
    <w:rsid w:val="007A405C"/>
    <w:rsid w:val="007A427C"/>
    <w:rsid w:val="007A52A5"/>
    <w:rsid w:val="007A722C"/>
    <w:rsid w:val="007A74D6"/>
    <w:rsid w:val="007B1111"/>
    <w:rsid w:val="007B2317"/>
    <w:rsid w:val="007B3354"/>
    <w:rsid w:val="007B3E3F"/>
    <w:rsid w:val="007B4096"/>
    <w:rsid w:val="007B41EC"/>
    <w:rsid w:val="007B4545"/>
    <w:rsid w:val="007B4850"/>
    <w:rsid w:val="007B5FBA"/>
    <w:rsid w:val="007B757F"/>
    <w:rsid w:val="007B78E4"/>
    <w:rsid w:val="007B7A39"/>
    <w:rsid w:val="007C066C"/>
    <w:rsid w:val="007C0983"/>
    <w:rsid w:val="007C1DB1"/>
    <w:rsid w:val="007C2F12"/>
    <w:rsid w:val="007C402E"/>
    <w:rsid w:val="007C4227"/>
    <w:rsid w:val="007C4926"/>
    <w:rsid w:val="007C492D"/>
    <w:rsid w:val="007C50C8"/>
    <w:rsid w:val="007C5583"/>
    <w:rsid w:val="007C574E"/>
    <w:rsid w:val="007C61BA"/>
    <w:rsid w:val="007C6423"/>
    <w:rsid w:val="007C69E9"/>
    <w:rsid w:val="007C6A4A"/>
    <w:rsid w:val="007C7B4F"/>
    <w:rsid w:val="007D0172"/>
    <w:rsid w:val="007D09DD"/>
    <w:rsid w:val="007D1316"/>
    <w:rsid w:val="007D1E3E"/>
    <w:rsid w:val="007D225F"/>
    <w:rsid w:val="007D2449"/>
    <w:rsid w:val="007D24BD"/>
    <w:rsid w:val="007D3647"/>
    <w:rsid w:val="007D58EF"/>
    <w:rsid w:val="007D69BE"/>
    <w:rsid w:val="007D6F6F"/>
    <w:rsid w:val="007D7D1F"/>
    <w:rsid w:val="007E076C"/>
    <w:rsid w:val="007E0A8E"/>
    <w:rsid w:val="007E1065"/>
    <w:rsid w:val="007E1E17"/>
    <w:rsid w:val="007E2660"/>
    <w:rsid w:val="007E2F75"/>
    <w:rsid w:val="007E3000"/>
    <w:rsid w:val="007E309A"/>
    <w:rsid w:val="007E3504"/>
    <w:rsid w:val="007E367C"/>
    <w:rsid w:val="007E3AC5"/>
    <w:rsid w:val="007E44D4"/>
    <w:rsid w:val="007E46AF"/>
    <w:rsid w:val="007E4C47"/>
    <w:rsid w:val="007E5592"/>
    <w:rsid w:val="007E6171"/>
    <w:rsid w:val="007E6D36"/>
    <w:rsid w:val="007E6EFD"/>
    <w:rsid w:val="007E7304"/>
    <w:rsid w:val="007E7C8E"/>
    <w:rsid w:val="007E7DAE"/>
    <w:rsid w:val="007E7F64"/>
    <w:rsid w:val="007F00A3"/>
    <w:rsid w:val="007F385B"/>
    <w:rsid w:val="007F45BC"/>
    <w:rsid w:val="007F50E2"/>
    <w:rsid w:val="007F5AFF"/>
    <w:rsid w:val="007F602C"/>
    <w:rsid w:val="007F6BBF"/>
    <w:rsid w:val="007F6D9C"/>
    <w:rsid w:val="007F6FE3"/>
    <w:rsid w:val="007F718B"/>
    <w:rsid w:val="007F7D33"/>
    <w:rsid w:val="007F7DCB"/>
    <w:rsid w:val="007F7EEA"/>
    <w:rsid w:val="00800699"/>
    <w:rsid w:val="00800EDA"/>
    <w:rsid w:val="008018CC"/>
    <w:rsid w:val="0080327F"/>
    <w:rsid w:val="008037D5"/>
    <w:rsid w:val="00803F9F"/>
    <w:rsid w:val="00804126"/>
    <w:rsid w:val="008047D7"/>
    <w:rsid w:val="0080497F"/>
    <w:rsid w:val="00804CA8"/>
    <w:rsid w:val="00805367"/>
    <w:rsid w:val="0080559C"/>
    <w:rsid w:val="0080654E"/>
    <w:rsid w:val="00806E8D"/>
    <w:rsid w:val="00807525"/>
    <w:rsid w:val="00807C58"/>
    <w:rsid w:val="008104B7"/>
    <w:rsid w:val="00810D46"/>
    <w:rsid w:val="0081146A"/>
    <w:rsid w:val="00811F4E"/>
    <w:rsid w:val="00812075"/>
    <w:rsid w:val="0081217B"/>
    <w:rsid w:val="00812F2B"/>
    <w:rsid w:val="0081336D"/>
    <w:rsid w:val="00813A8B"/>
    <w:rsid w:val="00813EB3"/>
    <w:rsid w:val="008148E2"/>
    <w:rsid w:val="00814A1A"/>
    <w:rsid w:val="0081529A"/>
    <w:rsid w:val="0081564A"/>
    <w:rsid w:val="00815864"/>
    <w:rsid w:val="008202F6"/>
    <w:rsid w:val="0082081A"/>
    <w:rsid w:val="008225CF"/>
    <w:rsid w:val="008232AA"/>
    <w:rsid w:val="008235DF"/>
    <w:rsid w:val="008238F3"/>
    <w:rsid w:val="00823BA5"/>
    <w:rsid w:val="00823F62"/>
    <w:rsid w:val="00824151"/>
    <w:rsid w:val="00824FDC"/>
    <w:rsid w:val="0082550E"/>
    <w:rsid w:val="00825C67"/>
    <w:rsid w:val="0082602E"/>
    <w:rsid w:val="0082626A"/>
    <w:rsid w:val="00826466"/>
    <w:rsid w:val="008266CC"/>
    <w:rsid w:val="00826CF9"/>
    <w:rsid w:val="00826F69"/>
    <w:rsid w:val="008273C1"/>
    <w:rsid w:val="008275AE"/>
    <w:rsid w:val="00831914"/>
    <w:rsid w:val="0083202B"/>
    <w:rsid w:val="00832DE9"/>
    <w:rsid w:val="008348CE"/>
    <w:rsid w:val="00834AB1"/>
    <w:rsid w:val="008353E4"/>
    <w:rsid w:val="00835959"/>
    <w:rsid w:val="00836B61"/>
    <w:rsid w:val="00837024"/>
    <w:rsid w:val="008373B4"/>
    <w:rsid w:val="008373EE"/>
    <w:rsid w:val="008407F0"/>
    <w:rsid w:val="008421B5"/>
    <w:rsid w:val="00842739"/>
    <w:rsid w:val="00842DE5"/>
    <w:rsid w:val="00844A8F"/>
    <w:rsid w:val="00844B0A"/>
    <w:rsid w:val="0084537B"/>
    <w:rsid w:val="00845F2B"/>
    <w:rsid w:val="00846B65"/>
    <w:rsid w:val="008502AD"/>
    <w:rsid w:val="00850921"/>
    <w:rsid w:val="00850C0F"/>
    <w:rsid w:val="0085135D"/>
    <w:rsid w:val="008518AA"/>
    <w:rsid w:val="0085289F"/>
    <w:rsid w:val="0085304B"/>
    <w:rsid w:val="0085316C"/>
    <w:rsid w:val="008540D1"/>
    <w:rsid w:val="00854818"/>
    <w:rsid w:val="00854A31"/>
    <w:rsid w:val="00855727"/>
    <w:rsid w:val="00855D77"/>
    <w:rsid w:val="008562BD"/>
    <w:rsid w:val="008565B0"/>
    <w:rsid w:val="008575B0"/>
    <w:rsid w:val="008575D3"/>
    <w:rsid w:val="00857676"/>
    <w:rsid w:val="00857CC7"/>
    <w:rsid w:val="00857DBA"/>
    <w:rsid w:val="008600C6"/>
    <w:rsid w:val="00860859"/>
    <w:rsid w:val="00860CD1"/>
    <w:rsid w:val="0086117F"/>
    <w:rsid w:val="008612E4"/>
    <w:rsid w:val="00861645"/>
    <w:rsid w:val="00861FE9"/>
    <w:rsid w:val="008631C2"/>
    <w:rsid w:val="008631C3"/>
    <w:rsid w:val="00864698"/>
    <w:rsid w:val="00864CB4"/>
    <w:rsid w:val="00865E67"/>
    <w:rsid w:val="00866EFB"/>
    <w:rsid w:val="00867787"/>
    <w:rsid w:val="00867878"/>
    <w:rsid w:val="008703D8"/>
    <w:rsid w:val="008707CA"/>
    <w:rsid w:val="00871B50"/>
    <w:rsid w:val="00871DAF"/>
    <w:rsid w:val="00872C83"/>
    <w:rsid w:val="00873C3D"/>
    <w:rsid w:val="00874090"/>
    <w:rsid w:val="00874E8D"/>
    <w:rsid w:val="008756E8"/>
    <w:rsid w:val="00880196"/>
    <w:rsid w:val="00881423"/>
    <w:rsid w:val="00881FDE"/>
    <w:rsid w:val="0088210C"/>
    <w:rsid w:val="00882A2F"/>
    <w:rsid w:val="00884CF6"/>
    <w:rsid w:val="00885783"/>
    <w:rsid w:val="00885D9D"/>
    <w:rsid w:val="00886191"/>
    <w:rsid w:val="00886689"/>
    <w:rsid w:val="008876E3"/>
    <w:rsid w:val="00887A03"/>
    <w:rsid w:val="00890767"/>
    <w:rsid w:val="00890A6C"/>
    <w:rsid w:val="00890AB1"/>
    <w:rsid w:val="00890B87"/>
    <w:rsid w:val="0089101F"/>
    <w:rsid w:val="00891926"/>
    <w:rsid w:val="00892E09"/>
    <w:rsid w:val="00892F7A"/>
    <w:rsid w:val="0089343A"/>
    <w:rsid w:val="00893B1D"/>
    <w:rsid w:val="0089401B"/>
    <w:rsid w:val="00896AD8"/>
    <w:rsid w:val="0089705D"/>
    <w:rsid w:val="008974B8"/>
    <w:rsid w:val="008978F7"/>
    <w:rsid w:val="00897D27"/>
    <w:rsid w:val="008A0A08"/>
    <w:rsid w:val="008A181A"/>
    <w:rsid w:val="008A189A"/>
    <w:rsid w:val="008A1A0D"/>
    <w:rsid w:val="008A1CC7"/>
    <w:rsid w:val="008A210E"/>
    <w:rsid w:val="008A3095"/>
    <w:rsid w:val="008A31AC"/>
    <w:rsid w:val="008A3BAE"/>
    <w:rsid w:val="008A4D4F"/>
    <w:rsid w:val="008A4F04"/>
    <w:rsid w:val="008A5701"/>
    <w:rsid w:val="008A57E2"/>
    <w:rsid w:val="008A599C"/>
    <w:rsid w:val="008A5E57"/>
    <w:rsid w:val="008A61D5"/>
    <w:rsid w:val="008A6C86"/>
    <w:rsid w:val="008A78C3"/>
    <w:rsid w:val="008B015D"/>
    <w:rsid w:val="008B0B33"/>
    <w:rsid w:val="008B17A9"/>
    <w:rsid w:val="008B319C"/>
    <w:rsid w:val="008B33F5"/>
    <w:rsid w:val="008B45ED"/>
    <w:rsid w:val="008B46E5"/>
    <w:rsid w:val="008B5CFD"/>
    <w:rsid w:val="008B5EC4"/>
    <w:rsid w:val="008B635E"/>
    <w:rsid w:val="008B64F8"/>
    <w:rsid w:val="008B7907"/>
    <w:rsid w:val="008C0083"/>
    <w:rsid w:val="008C0847"/>
    <w:rsid w:val="008C0EB6"/>
    <w:rsid w:val="008C1FA8"/>
    <w:rsid w:val="008C21A1"/>
    <w:rsid w:val="008C2B89"/>
    <w:rsid w:val="008C2FDD"/>
    <w:rsid w:val="008C3319"/>
    <w:rsid w:val="008C4402"/>
    <w:rsid w:val="008C4C77"/>
    <w:rsid w:val="008C4CE9"/>
    <w:rsid w:val="008C543F"/>
    <w:rsid w:val="008C5DD8"/>
    <w:rsid w:val="008C6621"/>
    <w:rsid w:val="008C70AE"/>
    <w:rsid w:val="008C764C"/>
    <w:rsid w:val="008C796B"/>
    <w:rsid w:val="008D081C"/>
    <w:rsid w:val="008D09A0"/>
    <w:rsid w:val="008D0AEC"/>
    <w:rsid w:val="008D1471"/>
    <w:rsid w:val="008D19F8"/>
    <w:rsid w:val="008D20AF"/>
    <w:rsid w:val="008D238E"/>
    <w:rsid w:val="008D2E3D"/>
    <w:rsid w:val="008D3453"/>
    <w:rsid w:val="008D366B"/>
    <w:rsid w:val="008D3CA6"/>
    <w:rsid w:val="008D48D2"/>
    <w:rsid w:val="008D54C2"/>
    <w:rsid w:val="008D5EBF"/>
    <w:rsid w:val="008D5FCD"/>
    <w:rsid w:val="008D667A"/>
    <w:rsid w:val="008D6BD1"/>
    <w:rsid w:val="008D75DB"/>
    <w:rsid w:val="008D77C6"/>
    <w:rsid w:val="008E2178"/>
    <w:rsid w:val="008E259F"/>
    <w:rsid w:val="008E356C"/>
    <w:rsid w:val="008E3941"/>
    <w:rsid w:val="008E3C49"/>
    <w:rsid w:val="008E45BA"/>
    <w:rsid w:val="008E5053"/>
    <w:rsid w:val="008E58F2"/>
    <w:rsid w:val="008E6219"/>
    <w:rsid w:val="008E671E"/>
    <w:rsid w:val="008E6E5D"/>
    <w:rsid w:val="008F22E3"/>
    <w:rsid w:val="008F3540"/>
    <w:rsid w:val="008F3642"/>
    <w:rsid w:val="008F3AAF"/>
    <w:rsid w:val="008F3C70"/>
    <w:rsid w:val="008F44E1"/>
    <w:rsid w:val="008F485B"/>
    <w:rsid w:val="008F49BE"/>
    <w:rsid w:val="008F6589"/>
    <w:rsid w:val="008F75DA"/>
    <w:rsid w:val="008F777A"/>
    <w:rsid w:val="008F7EAF"/>
    <w:rsid w:val="008F7EF0"/>
    <w:rsid w:val="009005DF"/>
    <w:rsid w:val="00900A00"/>
    <w:rsid w:val="0090197D"/>
    <w:rsid w:val="009021B8"/>
    <w:rsid w:val="0090296B"/>
    <w:rsid w:val="00902EFA"/>
    <w:rsid w:val="0090332E"/>
    <w:rsid w:val="009034C2"/>
    <w:rsid w:val="00903ADE"/>
    <w:rsid w:val="00904B22"/>
    <w:rsid w:val="00905F34"/>
    <w:rsid w:val="0090601E"/>
    <w:rsid w:val="00906153"/>
    <w:rsid w:val="00907677"/>
    <w:rsid w:val="009079B4"/>
    <w:rsid w:val="0091007B"/>
    <w:rsid w:val="009106F5"/>
    <w:rsid w:val="00910B59"/>
    <w:rsid w:val="009110D0"/>
    <w:rsid w:val="0091117F"/>
    <w:rsid w:val="009121B8"/>
    <w:rsid w:val="009129D1"/>
    <w:rsid w:val="009132D7"/>
    <w:rsid w:val="0091380B"/>
    <w:rsid w:val="009139DC"/>
    <w:rsid w:val="00914E7C"/>
    <w:rsid w:val="009154B2"/>
    <w:rsid w:val="009164D0"/>
    <w:rsid w:val="009166D9"/>
    <w:rsid w:val="009169B5"/>
    <w:rsid w:val="00916A38"/>
    <w:rsid w:val="00916D6B"/>
    <w:rsid w:val="00917B7A"/>
    <w:rsid w:val="00920508"/>
    <w:rsid w:val="009205A7"/>
    <w:rsid w:val="00920906"/>
    <w:rsid w:val="00920954"/>
    <w:rsid w:val="00920DC7"/>
    <w:rsid w:val="0092109C"/>
    <w:rsid w:val="009214F0"/>
    <w:rsid w:val="00921DED"/>
    <w:rsid w:val="00922265"/>
    <w:rsid w:val="009224DF"/>
    <w:rsid w:val="00922A36"/>
    <w:rsid w:val="00922AAA"/>
    <w:rsid w:val="00922B0D"/>
    <w:rsid w:val="00922F79"/>
    <w:rsid w:val="00923766"/>
    <w:rsid w:val="00923A2A"/>
    <w:rsid w:val="00923F69"/>
    <w:rsid w:val="0092481D"/>
    <w:rsid w:val="009254D9"/>
    <w:rsid w:val="00925585"/>
    <w:rsid w:val="00926172"/>
    <w:rsid w:val="009261D1"/>
    <w:rsid w:val="00926700"/>
    <w:rsid w:val="00926DAF"/>
    <w:rsid w:val="00927921"/>
    <w:rsid w:val="00930065"/>
    <w:rsid w:val="0093112D"/>
    <w:rsid w:val="00931444"/>
    <w:rsid w:val="00931697"/>
    <w:rsid w:val="0093179E"/>
    <w:rsid w:val="00931D16"/>
    <w:rsid w:val="00932011"/>
    <w:rsid w:val="00932927"/>
    <w:rsid w:val="00932EFB"/>
    <w:rsid w:val="00933C1C"/>
    <w:rsid w:val="00934B31"/>
    <w:rsid w:val="00936329"/>
    <w:rsid w:val="0093668D"/>
    <w:rsid w:val="0093696E"/>
    <w:rsid w:val="00937423"/>
    <w:rsid w:val="00937B0D"/>
    <w:rsid w:val="009400F7"/>
    <w:rsid w:val="00940AEF"/>
    <w:rsid w:val="00941024"/>
    <w:rsid w:val="0094134B"/>
    <w:rsid w:val="00941A7A"/>
    <w:rsid w:val="00941B14"/>
    <w:rsid w:val="00941D74"/>
    <w:rsid w:val="00941E94"/>
    <w:rsid w:val="00943A54"/>
    <w:rsid w:val="00943D0B"/>
    <w:rsid w:val="009444B1"/>
    <w:rsid w:val="00944FE7"/>
    <w:rsid w:val="009455C1"/>
    <w:rsid w:val="00945881"/>
    <w:rsid w:val="00945A15"/>
    <w:rsid w:val="0094612D"/>
    <w:rsid w:val="00946183"/>
    <w:rsid w:val="009464AD"/>
    <w:rsid w:val="00946D36"/>
    <w:rsid w:val="009470E0"/>
    <w:rsid w:val="009505BC"/>
    <w:rsid w:val="0095064E"/>
    <w:rsid w:val="009527ED"/>
    <w:rsid w:val="00952F0A"/>
    <w:rsid w:val="00952FDA"/>
    <w:rsid w:val="00953368"/>
    <w:rsid w:val="00953585"/>
    <w:rsid w:val="00953760"/>
    <w:rsid w:val="00953775"/>
    <w:rsid w:val="00953C19"/>
    <w:rsid w:val="00953F1B"/>
    <w:rsid w:val="009551F9"/>
    <w:rsid w:val="00955E7D"/>
    <w:rsid w:val="009565CD"/>
    <w:rsid w:val="00956868"/>
    <w:rsid w:val="00956BF4"/>
    <w:rsid w:val="00957567"/>
    <w:rsid w:val="009578C7"/>
    <w:rsid w:val="00957D7B"/>
    <w:rsid w:val="00960B31"/>
    <w:rsid w:val="00961C69"/>
    <w:rsid w:val="00961F31"/>
    <w:rsid w:val="00962627"/>
    <w:rsid w:val="00963D46"/>
    <w:rsid w:val="00964073"/>
    <w:rsid w:val="0096438E"/>
    <w:rsid w:val="00964583"/>
    <w:rsid w:val="009658DA"/>
    <w:rsid w:val="009663A7"/>
    <w:rsid w:val="00966DB6"/>
    <w:rsid w:val="0096711E"/>
    <w:rsid w:val="009672F0"/>
    <w:rsid w:val="00967CA6"/>
    <w:rsid w:val="009715C8"/>
    <w:rsid w:val="009722EC"/>
    <w:rsid w:val="00972530"/>
    <w:rsid w:val="009734CE"/>
    <w:rsid w:val="00973A48"/>
    <w:rsid w:val="00973CE5"/>
    <w:rsid w:val="009746E1"/>
    <w:rsid w:val="0097517E"/>
    <w:rsid w:val="0097547D"/>
    <w:rsid w:val="00975C10"/>
    <w:rsid w:val="00980049"/>
    <w:rsid w:val="009805BC"/>
    <w:rsid w:val="00980C95"/>
    <w:rsid w:val="00981F78"/>
    <w:rsid w:val="009828E6"/>
    <w:rsid w:val="00982BB0"/>
    <w:rsid w:val="00983431"/>
    <w:rsid w:val="00983ACE"/>
    <w:rsid w:val="00984ACB"/>
    <w:rsid w:val="00985344"/>
    <w:rsid w:val="00985600"/>
    <w:rsid w:val="00986458"/>
    <w:rsid w:val="009866A0"/>
    <w:rsid w:val="009869B3"/>
    <w:rsid w:val="00986B85"/>
    <w:rsid w:val="009872CC"/>
    <w:rsid w:val="00987BAF"/>
    <w:rsid w:val="00991AFA"/>
    <w:rsid w:val="00991E78"/>
    <w:rsid w:val="00992B15"/>
    <w:rsid w:val="00992C45"/>
    <w:rsid w:val="00993851"/>
    <w:rsid w:val="00993B51"/>
    <w:rsid w:val="009943C2"/>
    <w:rsid w:val="00994AAA"/>
    <w:rsid w:val="00996B8B"/>
    <w:rsid w:val="009974DC"/>
    <w:rsid w:val="00997A5F"/>
    <w:rsid w:val="009A0CC8"/>
    <w:rsid w:val="009A0F17"/>
    <w:rsid w:val="009A0F3B"/>
    <w:rsid w:val="009A1251"/>
    <w:rsid w:val="009A160F"/>
    <w:rsid w:val="009A23EC"/>
    <w:rsid w:val="009A24D5"/>
    <w:rsid w:val="009A292E"/>
    <w:rsid w:val="009A2B33"/>
    <w:rsid w:val="009A2DD8"/>
    <w:rsid w:val="009A49FB"/>
    <w:rsid w:val="009A4C25"/>
    <w:rsid w:val="009A71C9"/>
    <w:rsid w:val="009A726E"/>
    <w:rsid w:val="009A750A"/>
    <w:rsid w:val="009A77F6"/>
    <w:rsid w:val="009A797B"/>
    <w:rsid w:val="009B06FD"/>
    <w:rsid w:val="009B13CA"/>
    <w:rsid w:val="009B190D"/>
    <w:rsid w:val="009B1984"/>
    <w:rsid w:val="009B1B50"/>
    <w:rsid w:val="009B21B7"/>
    <w:rsid w:val="009B23DB"/>
    <w:rsid w:val="009B30EC"/>
    <w:rsid w:val="009B337E"/>
    <w:rsid w:val="009B3EF2"/>
    <w:rsid w:val="009B5414"/>
    <w:rsid w:val="009B68A2"/>
    <w:rsid w:val="009B68BF"/>
    <w:rsid w:val="009B6B26"/>
    <w:rsid w:val="009B78E3"/>
    <w:rsid w:val="009B7B52"/>
    <w:rsid w:val="009C016C"/>
    <w:rsid w:val="009C0F5C"/>
    <w:rsid w:val="009C34AB"/>
    <w:rsid w:val="009C3A69"/>
    <w:rsid w:val="009C43ED"/>
    <w:rsid w:val="009C47EE"/>
    <w:rsid w:val="009C4BC7"/>
    <w:rsid w:val="009C5592"/>
    <w:rsid w:val="009C5A8C"/>
    <w:rsid w:val="009C5BD8"/>
    <w:rsid w:val="009C63D9"/>
    <w:rsid w:val="009C74B5"/>
    <w:rsid w:val="009D1336"/>
    <w:rsid w:val="009D1413"/>
    <w:rsid w:val="009D15A2"/>
    <w:rsid w:val="009D1696"/>
    <w:rsid w:val="009D1E37"/>
    <w:rsid w:val="009D1EA4"/>
    <w:rsid w:val="009D272E"/>
    <w:rsid w:val="009D2F0F"/>
    <w:rsid w:val="009D4117"/>
    <w:rsid w:val="009D50AF"/>
    <w:rsid w:val="009D5CD8"/>
    <w:rsid w:val="009D6413"/>
    <w:rsid w:val="009D6C97"/>
    <w:rsid w:val="009D716D"/>
    <w:rsid w:val="009D787B"/>
    <w:rsid w:val="009D7C12"/>
    <w:rsid w:val="009D7D3E"/>
    <w:rsid w:val="009E0F34"/>
    <w:rsid w:val="009E1003"/>
    <w:rsid w:val="009E1503"/>
    <w:rsid w:val="009E1A4A"/>
    <w:rsid w:val="009E244E"/>
    <w:rsid w:val="009E25AF"/>
    <w:rsid w:val="009E2B7D"/>
    <w:rsid w:val="009E3A14"/>
    <w:rsid w:val="009E3B55"/>
    <w:rsid w:val="009E3C5A"/>
    <w:rsid w:val="009E3CC5"/>
    <w:rsid w:val="009E3F55"/>
    <w:rsid w:val="009E41E2"/>
    <w:rsid w:val="009E492D"/>
    <w:rsid w:val="009E4F7B"/>
    <w:rsid w:val="009E5172"/>
    <w:rsid w:val="009E567E"/>
    <w:rsid w:val="009E58A2"/>
    <w:rsid w:val="009E58BE"/>
    <w:rsid w:val="009F0690"/>
    <w:rsid w:val="009F0709"/>
    <w:rsid w:val="009F3FBD"/>
    <w:rsid w:val="009F41DE"/>
    <w:rsid w:val="009F43F0"/>
    <w:rsid w:val="009F4967"/>
    <w:rsid w:val="009F4E5E"/>
    <w:rsid w:val="009F5386"/>
    <w:rsid w:val="009F6F44"/>
    <w:rsid w:val="009F7E27"/>
    <w:rsid w:val="00A0114D"/>
    <w:rsid w:val="00A01183"/>
    <w:rsid w:val="00A019C2"/>
    <w:rsid w:val="00A02CCD"/>
    <w:rsid w:val="00A03665"/>
    <w:rsid w:val="00A04780"/>
    <w:rsid w:val="00A04E97"/>
    <w:rsid w:val="00A0518E"/>
    <w:rsid w:val="00A0585A"/>
    <w:rsid w:val="00A05CA6"/>
    <w:rsid w:val="00A0693D"/>
    <w:rsid w:val="00A06ABC"/>
    <w:rsid w:val="00A07009"/>
    <w:rsid w:val="00A0706D"/>
    <w:rsid w:val="00A07748"/>
    <w:rsid w:val="00A07975"/>
    <w:rsid w:val="00A07E38"/>
    <w:rsid w:val="00A10518"/>
    <w:rsid w:val="00A106DB"/>
    <w:rsid w:val="00A11253"/>
    <w:rsid w:val="00A112C8"/>
    <w:rsid w:val="00A12018"/>
    <w:rsid w:val="00A1219D"/>
    <w:rsid w:val="00A128A2"/>
    <w:rsid w:val="00A12AB5"/>
    <w:rsid w:val="00A12AFC"/>
    <w:rsid w:val="00A135C1"/>
    <w:rsid w:val="00A14645"/>
    <w:rsid w:val="00A14FBE"/>
    <w:rsid w:val="00A15240"/>
    <w:rsid w:val="00A15267"/>
    <w:rsid w:val="00A1595A"/>
    <w:rsid w:val="00A15B83"/>
    <w:rsid w:val="00A16765"/>
    <w:rsid w:val="00A16B60"/>
    <w:rsid w:val="00A17031"/>
    <w:rsid w:val="00A17214"/>
    <w:rsid w:val="00A17430"/>
    <w:rsid w:val="00A17AB0"/>
    <w:rsid w:val="00A17D2F"/>
    <w:rsid w:val="00A20CC8"/>
    <w:rsid w:val="00A216C2"/>
    <w:rsid w:val="00A2200D"/>
    <w:rsid w:val="00A22567"/>
    <w:rsid w:val="00A22C3D"/>
    <w:rsid w:val="00A23190"/>
    <w:rsid w:val="00A23515"/>
    <w:rsid w:val="00A2459A"/>
    <w:rsid w:val="00A2473C"/>
    <w:rsid w:val="00A24F68"/>
    <w:rsid w:val="00A25995"/>
    <w:rsid w:val="00A2661D"/>
    <w:rsid w:val="00A26886"/>
    <w:rsid w:val="00A27A37"/>
    <w:rsid w:val="00A27AA9"/>
    <w:rsid w:val="00A27E6D"/>
    <w:rsid w:val="00A304F4"/>
    <w:rsid w:val="00A30FF5"/>
    <w:rsid w:val="00A31097"/>
    <w:rsid w:val="00A313C1"/>
    <w:rsid w:val="00A317F4"/>
    <w:rsid w:val="00A3181F"/>
    <w:rsid w:val="00A323EF"/>
    <w:rsid w:val="00A32704"/>
    <w:rsid w:val="00A328F3"/>
    <w:rsid w:val="00A32CDF"/>
    <w:rsid w:val="00A32E9D"/>
    <w:rsid w:val="00A32EEA"/>
    <w:rsid w:val="00A33344"/>
    <w:rsid w:val="00A336C9"/>
    <w:rsid w:val="00A337C6"/>
    <w:rsid w:val="00A33D4A"/>
    <w:rsid w:val="00A346C7"/>
    <w:rsid w:val="00A349A7"/>
    <w:rsid w:val="00A349DC"/>
    <w:rsid w:val="00A35843"/>
    <w:rsid w:val="00A3591C"/>
    <w:rsid w:val="00A36BC5"/>
    <w:rsid w:val="00A37CCF"/>
    <w:rsid w:val="00A4026F"/>
    <w:rsid w:val="00A404B0"/>
    <w:rsid w:val="00A4146C"/>
    <w:rsid w:val="00A41580"/>
    <w:rsid w:val="00A41583"/>
    <w:rsid w:val="00A41D89"/>
    <w:rsid w:val="00A435C3"/>
    <w:rsid w:val="00A43E2E"/>
    <w:rsid w:val="00A441FC"/>
    <w:rsid w:val="00A443EF"/>
    <w:rsid w:val="00A473EA"/>
    <w:rsid w:val="00A47BD3"/>
    <w:rsid w:val="00A47DB7"/>
    <w:rsid w:val="00A50251"/>
    <w:rsid w:val="00A51300"/>
    <w:rsid w:val="00A5177E"/>
    <w:rsid w:val="00A51C11"/>
    <w:rsid w:val="00A529C0"/>
    <w:rsid w:val="00A534C2"/>
    <w:rsid w:val="00A535AD"/>
    <w:rsid w:val="00A5384B"/>
    <w:rsid w:val="00A53924"/>
    <w:rsid w:val="00A53B8F"/>
    <w:rsid w:val="00A53D8C"/>
    <w:rsid w:val="00A54652"/>
    <w:rsid w:val="00A54A6B"/>
    <w:rsid w:val="00A54F30"/>
    <w:rsid w:val="00A55ABE"/>
    <w:rsid w:val="00A55DF1"/>
    <w:rsid w:val="00A56C97"/>
    <w:rsid w:val="00A57426"/>
    <w:rsid w:val="00A57489"/>
    <w:rsid w:val="00A57645"/>
    <w:rsid w:val="00A60C6D"/>
    <w:rsid w:val="00A61059"/>
    <w:rsid w:val="00A62FF1"/>
    <w:rsid w:val="00A63358"/>
    <w:rsid w:val="00A634F9"/>
    <w:rsid w:val="00A6464C"/>
    <w:rsid w:val="00A6488D"/>
    <w:rsid w:val="00A6491F"/>
    <w:rsid w:val="00A668F6"/>
    <w:rsid w:val="00A67297"/>
    <w:rsid w:val="00A679B9"/>
    <w:rsid w:val="00A67E30"/>
    <w:rsid w:val="00A70359"/>
    <w:rsid w:val="00A70614"/>
    <w:rsid w:val="00A70618"/>
    <w:rsid w:val="00A71978"/>
    <w:rsid w:val="00A720A9"/>
    <w:rsid w:val="00A720BB"/>
    <w:rsid w:val="00A7215D"/>
    <w:rsid w:val="00A72466"/>
    <w:rsid w:val="00A72B2C"/>
    <w:rsid w:val="00A72C58"/>
    <w:rsid w:val="00A73327"/>
    <w:rsid w:val="00A735A9"/>
    <w:rsid w:val="00A7374F"/>
    <w:rsid w:val="00A742A2"/>
    <w:rsid w:val="00A74A25"/>
    <w:rsid w:val="00A74D8D"/>
    <w:rsid w:val="00A74E9B"/>
    <w:rsid w:val="00A75B58"/>
    <w:rsid w:val="00A76606"/>
    <w:rsid w:val="00A76735"/>
    <w:rsid w:val="00A76E0E"/>
    <w:rsid w:val="00A77A41"/>
    <w:rsid w:val="00A80881"/>
    <w:rsid w:val="00A80FA7"/>
    <w:rsid w:val="00A812A0"/>
    <w:rsid w:val="00A81575"/>
    <w:rsid w:val="00A81EE6"/>
    <w:rsid w:val="00A82C1F"/>
    <w:rsid w:val="00A8412F"/>
    <w:rsid w:val="00A84D53"/>
    <w:rsid w:val="00A859B4"/>
    <w:rsid w:val="00A85B03"/>
    <w:rsid w:val="00A85DCC"/>
    <w:rsid w:val="00A85EBC"/>
    <w:rsid w:val="00A86C46"/>
    <w:rsid w:val="00A86D62"/>
    <w:rsid w:val="00A87156"/>
    <w:rsid w:val="00A90C15"/>
    <w:rsid w:val="00A91178"/>
    <w:rsid w:val="00A91306"/>
    <w:rsid w:val="00A91642"/>
    <w:rsid w:val="00A921B0"/>
    <w:rsid w:val="00A92D83"/>
    <w:rsid w:val="00A92FD9"/>
    <w:rsid w:val="00A93B33"/>
    <w:rsid w:val="00A946B1"/>
    <w:rsid w:val="00A94F8F"/>
    <w:rsid w:val="00A95260"/>
    <w:rsid w:val="00A95916"/>
    <w:rsid w:val="00A95DCB"/>
    <w:rsid w:val="00A9601C"/>
    <w:rsid w:val="00A96656"/>
    <w:rsid w:val="00A96872"/>
    <w:rsid w:val="00A9696D"/>
    <w:rsid w:val="00A96DBF"/>
    <w:rsid w:val="00A9708D"/>
    <w:rsid w:val="00A970C1"/>
    <w:rsid w:val="00A97286"/>
    <w:rsid w:val="00A973D4"/>
    <w:rsid w:val="00AA037F"/>
    <w:rsid w:val="00AA0D9C"/>
    <w:rsid w:val="00AA0F23"/>
    <w:rsid w:val="00AA1675"/>
    <w:rsid w:val="00AA17BC"/>
    <w:rsid w:val="00AA2853"/>
    <w:rsid w:val="00AA2CF3"/>
    <w:rsid w:val="00AA3201"/>
    <w:rsid w:val="00AA4A16"/>
    <w:rsid w:val="00AA52D6"/>
    <w:rsid w:val="00AA59B7"/>
    <w:rsid w:val="00AA6199"/>
    <w:rsid w:val="00AA638E"/>
    <w:rsid w:val="00AA67E2"/>
    <w:rsid w:val="00AA6901"/>
    <w:rsid w:val="00AA7566"/>
    <w:rsid w:val="00AA7FAA"/>
    <w:rsid w:val="00AB07AC"/>
    <w:rsid w:val="00AB15FA"/>
    <w:rsid w:val="00AB17D0"/>
    <w:rsid w:val="00AB1BA0"/>
    <w:rsid w:val="00AB1D10"/>
    <w:rsid w:val="00AB1EFE"/>
    <w:rsid w:val="00AB1FEC"/>
    <w:rsid w:val="00AB25A9"/>
    <w:rsid w:val="00AB2FC9"/>
    <w:rsid w:val="00AB41DC"/>
    <w:rsid w:val="00AB43A8"/>
    <w:rsid w:val="00AB4673"/>
    <w:rsid w:val="00AB7493"/>
    <w:rsid w:val="00AB769D"/>
    <w:rsid w:val="00AB7965"/>
    <w:rsid w:val="00AB7A8E"/>
    <w:rsid w:val="00AC02D0"/>
    <w:rsid w:val="00AC0ED5"/>
    <w:rsid w:val="00AC1638"/>
    <w:rsid w:val="00AC2741"/>
    <w:rsid w:val="00AC2B6B"/>
    <w:rsid w:val="00AC40A0"/>
    <w:rsid w:val="00AC4105"/>
    <w:rsid w:val="00AC43D6"/>
    <w:rsid w:val="00AC4469"/>
    <w:rsid w:val="00AC47BB"/>
    <w:rsid w:val="00AC483F"/>
    <w:rsid w:val="00AC52A6"/>
    <w:rsid w:val="00AC5A0E"/>
    <w:rsid w:val="00AC5D29"/>
    <w:rsid w:val="00AC5F46"/>
    <w:rsid w:val="00AC6D76"/>
    <w:rsid w:val="00AC7558"/>
    <w:rsid w:val="00AD1593"/>
    <w:rsid w:val="00AD1D20"/>
    <w:rsid w:val="00AD2CB5"/>
    <w:rsid w:val="00AD2E79"/>
    <w:rsid w:val="00AD34CC"/>
    <w:rsid w:val="00AD3963"/>
    <w:rsid w:val="00AD5BCE"/>
    <w:rsid w:val="00AD5C67"/>
    <w:rsid w:val="00AD64B3"/>
    <w:rsid w:val="00AE08AE"/>
    <w:rsid w:val="00AE1167"/>
    <w:rsid w:val="00AE1A24"/>
    <w:rsid w:val="00AE24AD"/>
    <w:rsid w:val="00AE31A3"/>
    <w:rsid w:val="00AE344E"/>
    <w:rsid w:val="00AE355F"/>
    <w:rsid w:val="00AE3623"/>
    <w:rsid w:val="00AE36ED"/>
    <w:rsid w:val="00AE50AE"/>
    <w:rsid w:val="00AE555E"/>
    <w:rsid w:val="00AE56C2"/>
    <w:rsid w:val="00AE58EC"/>
    <w:rsid w:val="00AE5FC9"/>
    <w:rsid w:val="00AE6338"/>
    <w:rsid w:val="00AE6466"/>
    <w:rsid w:val="00AE6809"/>
    <w:rsid w:val="00AE6B5B"/>
    <w:rsid w:val="00AE6D6E"/>
    <w:rsid w:val="00AE6F2A"/>
    <w:rsid w:val="00AE7355"/>
    <w:rsid w:val="00AE7709"/>
    <w:rsid w:val="00AF0197"/>
    <w:rsid w:val="00AF19D7"/>
    <w:rsid w:val="00AF1BEA"/>
    <w:rsid w:val="00AF2480"/>
    <w:rsid w:val="00AF2A55"/>
    <w:rsid w:val="00AF393B"/>
    <w:rsid w:val="00AF4115"/>
    <w:rsid w:val="00AF5BA9"/>
    <w:rsid w:val="00AF5D12"/>
    <w:rsid w:val="00AF5DB7"/>
    <w:rsid w:val="00AF6F65"/>
    <w:rsid w:val="00AF7702"/>
    <w:rsid w:val="00AF7C3E"/>
    <w:rsid w:val="00B001DC"/>
    <w:rsid w:val="00B00DBE"/>
    <w:rsid w:val="00B00DD6"/>
    <w:rsid w:val="00B021FF"/>
    <w:rsid w:val="00B023EB"/>
    <w:rsid w:val="00B032E7"/>
    <w:rsid w:val="00B035C6"/>
    <w:rsid w:val="00B03656"/>
    <w:rsid w:val="00B03822"/>
    <w:rsid w:val="00B04325"/>
    <w:rsid w:val="00B0444B"/>
    <w:rsid w:val="00B048E4"/>
    <w:rsid w:val="00B04A89"/>
    <w:rsid w:val="00B05D6E"/>
    <w:rsid w:val="00B05D8B"/>
    <w:rsid w:val="00B067CD"/>
    <w:rsid w:val="00B0752A"/>
    <w:rsid w:val="00B10120"/>
    <w:rsid w:val="00B1040E"/>
    <w:rsid w:val="00B10E22"/>
    <w:rsid w:val="00B11199"/>
    <w:rsid w:val="00B114D9"/>
    <w:rsid w:val="00B12B38"/>
    <w:rsid w:val="00B13733"/>
    <w:rsid w:val="00B13962"/>
    <w:rsid w:val="00B13B12"/>
    <w:rsid w:val="00B13BFC"/>
    <w:rsid w:val="00B147DB"/>
    <w:rsid w:val="00B14917"/>
    <w:rsid w:val="00B14AC0"/>
    <w:rsid w:val="00B14AFC"/>
    <w:rsid w:val="00B150FB"/>
    <w:rsid w:val="00B15580"/>
    <w:rsid w:val="00B16301"/>
    <w:rsid w:val="00B16848"/>
    <w:rsid w:val="00B17283"/>
    <w:rsid w:val="00B177D2"/>
    <w:rsid w:val="00B1786F"/>
    <w:rsid w:val="00B17A04"/>
    <w:rsid w:val="00B20212"/>
    <w:rsid w:val="00B205FE"/>
    <w:rsid w:val="00B20605"/>
    <w:rsid w:val="00B20AD7"/>
    <w:rsid w:val="00B21C24"/>
    <w:rsid w:val="00B21E3D"/>
    <w:rsid w:val="00B21EFF"/>
    <w:rsid w:val="00B227DF"/>
    <w:rsid w:val="00B240AD"/>
    <w:rsid w:val="00B243FD"/>
    <w:rsid w:val="00B2460B"/>
    <w:rsid w:val="00B252D5"/>
    <w:rsid w:val="00B2541C"/>
    <w:rsid w:val="00B2548C"/>
    <w:rsid w:val="00B26882"/>
    <w:rsid w:val="00B3011B"/>
    <w:rsid w:val="00B303D7"/>
    <w:rsid w:val="00B33E9E"/>
    <w:rsid w:val="00B34320"/>
    <w:rsid w:val="00B3442C"/>
    <w:rsid w:val="00B3504E"/>
    <w:rsid w:val="00B353A8"/>
    <w:rsid w:val="00B377F3"/>
    <w:rsid w:val="00B403CF"/>
    <w:rsid w:val="00B40C74"/>
    <w:rsid w:val="00B40EB9"/>
    <w:rsid w:val="00B41342"/>
    <w:rsid w:val="00B42654"/>
    <w:rsid w:val="00B42C24"/>
    <w:rsid w:val="00B432FF"/>
    <w:rsid w:val="00B438C5"/>
    <w:rsid w:val="00B44D27"/>
    <w:rsid w:val="00B45CAD"/>
    <w:rsid w:val="00B46471"/>
    <w:rsid w:val="00B46DFF"/>
    <w:rsid w:val="00B47846"/>
    <w:rsid w:val="00B479FC"/>
    <w:rsid w:val="00B50D63"/>
    <w:rsid w:val="00B50DF0"/>
    <w:rsid w:val="00B510A0"/>
    <w:rsid w:val="00B51BDD"/>
    <w:rsid w:val="00B53AA5"/>
    <w:rsid w:val="00B53AE9"/>
    <w:rsid w:val="00B54277"/>
    <w:rsid w:val="00B54C7A"/>
    <w:rsid w:val="00B5507E"/>
    <w:rsid w:val="00B560F2"/>
    <w:rsid w:val="00B565CE"/>
    <w:rsid w:val="00B579DF"/>
    <w:rsid w:val="00B6072C"/>
    <w:rsid w:val="00B60ADD"/>
    <w:rsid w:val="00B61579"/>
    <w:rsid w:val="00B61994"/>
    <w:rsid w:val="00B6260C"/>
    <w:rsid w:val="00B63F78"/>
    <w:rsid w:val="00B6441B"/>
    <w:rsid w:val="00B64872"/>
    <w:rsid w:val="00B652DC"/>
    <w:rsid w:val="00B65383"/>
    <w:rsid w:val="00B656FC"/>
    <w:rsid w:val="00B65747"/>
    <w:rsid w:val="00B660BC"/>
    <w:rsid w:val="00B666AD"/>
    <w:rsid w:val="00B6673B"/>
    <w:rsid w:val="00B706C1"/>
    <w:rsid w:val="00B70EAC"/>
    <w:rsid w:val="00B70F31"/>
    <w:rsid w:val="00B711A7"/>
    <w:rsid w:val="00B713B0"/>
    <w:rsid w:val="00B7175E"/>
    <w:rsid w:val="00B71AD5"/>
    <w:rsid w:val="00B71C6A"/>
    <w:rsid w:val="00B72A63"/>
    <w:rsid w:val="00B7302D"/>
    <w:rsid w:val="00B731B3"/>
    <w:rsid w:val="00B738F5"/>
    <w:rsid w:val="00B73F68"/>
    <w:rsid w:val="00B74488"/>
    <w:rsid w:val="00B746D3"/>
    <w:rsid w:val="00B74B46"/>
    <w:rsid w:val="00B74E5A"/>
    <w:rsid w:val="00B74E6E"/>
    <w:rsid w:val="00B75115"/>
    <w:rsid w:val="00B75A28"/>
    <w:rsid w:val="00B76764"/>
    <w:rsid w:val="00B76BCD"/>
    <w:rsid w:val="00B779B5"/>
    <w:rsid w:val="00B80417"/>
    <w:rsid w:val="00B8052F"/>
    <w:rsid w:val="00B8066A"/>
    <w:rsid w:val="00B81049"/>
    <w:rsid w:val="00B81393"/>
    <w:rsid w:val="00B81A60"/>
    <w:rsid w:val="00B81B00"/>
    <w:rsid w:val="00B81E74"/>
    <w:rsid w:val="00B82FE2"/>
    <w:rsid w:val="00B83269"/>
    <w:rsid w:val="00B838CA"/>
    <w:rsid w:val="00B84098"/>
    <w:rsid w:val="00B84C15"/>
    <w:rsid w:val="00B84EC5"/>
    <w:rsid w:val="00B854C5"/>
    <w:rsid w:val="00B85BB8"/>
    <w:rsid w:val="00B869C4"/>
    <w:rsid w:val="00B86DC4"/>
    <w:rsid w:val="00B86F2D"/>
    <w:rsid w:val="00B876EA"/>
    <w:rsid w:val="00B9040A"/>
    <w:rsid w:val="00B90907"/>
    <w:rsid w:val="00B90F27"/>
    <w:rsid w:val="00B9122E"/>
    <w:rsid w:val="00B91A39"/>
    <w:rsid w:val="00B91B6C"/>
    <w:rsid w:val="00B91BDF"/>
    <w:rsid w:val="00B92271"/>
    <w:rsid w:val="00B94CA8"/>
    <w:rsid w:val="00B9590C"/>
    <w:rsid w:val="00B95C6D"/>
    <w:rsid w:val="00B95D53"/>
    <w:rsid w:val="00B9644D"/>
    <w:rsid w:val="00B968D7"/>
    <w:rsid w:val="00B97BD5"/>
    <w:rsid w:val="00BA00D1"/>
    <w:rsid w:val="00BA047E"/>
    <w:rsid w:val="00BA0711"/>
    <w:rsid w:val="00BA0E66"/>
    <w:rsid w:val="00BA124A"/>
    <w:rsid w:val="00BA3C37"/>
    <w:rsid w:val="00BA444E"/>
    <w:rsid w:val="00BA5597"/>
    <w:rsid w:val="00BA5B1B"/>
    <w:rsid w:val="00BA7581"/>
    <w:rsid w:val="00BB02C6"/>
    <w:rsid w:val="00BB1EEB"/>
    <w:rsid w:val="00BB22C8"/>
    <w:rsid w:val="00BB27F6"/>
    <w:rsid w:val="00BB2C17"/>
    <w:rsid w:val="00BB359B"/>
    <w:rsid w:val="00BB3C5E"/>
    <w:rsid w:val="00BB3CA6"/>
    <w:rsid w:val="00BB4021"/>
    <w:rsid w:val="00BB4A98"/>
    <w:rsid w:val="00BB4E88"/>
    <w:rsid w:val="00BB4F19"/>
    <w:rsid w:val="00BB556E"/>
    <w:rsid w:val="00BB55CF"/>
    <w:rsid w:val="00BB5DA1"/>
    <w:rsid w:val="00BB5E27"/>
    <w:rsid w:val="00BB6005"/>
    <w:rsid w:val="00BB674E"/>
    <w:rsid w:val="00BB7728"/>
    <w:rsid w:val="00BB7B23"/>
    <w:rsid w:val="00BB7B4F"/>
    <w:rsid w:val="00BC0098"/>
    <w:rsid w:val="00BC0957"/>
    <w:rsid w:val="00BC10A4"/>
    <w:rsid w:val="00BC178C"/>
    <w:rsid w:val="00BC193A"/>
    <w:rsid w:val="00BC1AE7"/>
    <w:rsid w:val="00BC1C1C"/>
    <w:rsid w:val="00BC2841"/>
    <w:rsid w:val="00BC2968"/>
    <w:rsid w:val="00BC2DE5"/>
    <w:rsid w:val="00BC36B2"/>
    <w:rsid w:val="00BC43D7"/>
    <w:rsid w:val="00BC4643"/>
    <w:rsid w:val="00BC4907"/>
    <w:rsid w:val="00BC4D4A"/>
    <w:rsid w:val="00BC5005"/>
    <w:rsid w:val="00BC52DF"/>
    <w:rsid w:val="00BC53BB"/>
    <w:rsid w:val="00BC575C"/>
    <w:rsid w:val="00BC5CC3"/>
    <w:rsid w:val="00BD019E"/>
    <w:rsid w:val="00BD12AF"/>
    <w:rsid w:val="00BD178E"/>
    <w:rsid w:val="00BD1EFD"/>
    <w:rsid w:val="00BD25F8"/>
    <w:rsid w:val="00BD2C63"/>
    <w:rsid w:val="00BD301C"/>
    <w:rsid w:val="00BD32D1"/>
    <w:rsid w:val="00BD3E2C"/>
    <w:rsid w:val="00BD4438"/>
    <w:rsid w:val="00BD4C52"/>
    <w:rsid w:val="00BD4D53"/>
    <w:rsid w:val="00BD4EEE"/>
    <w:rsid w:val="00BD651B"/>
    <w:rsid w:val="00BD6B66"/>
    <w:rsid w:val="00BD6B92"/>
    <w:rsid w:val="00BD78BF"/>
    <w:rsid w:val="00BE0692"/>
    <w:rsid w:val="00BE11CF"/>
    <w:rsid w:val="00BE130D"/>
    <w:rsid w:val="00BE1DAA"/>
    <w:rsid w:val="00BE2066"/>
    <w:rsid w:val="00BE2300"/>
    <w:rsid w:val="00BE2BC9"/>
    <w:rsid w:val="00BE31EB"/>
    <w:rsid w:val="00BE3E7E"/>
    <w:rsid w:val="00BE693E"/>
    <w:rsid w:val="00BE6C05"/>
    <w:rsid w:val="00BE74CE"/>
    <w:rsid w:val="00BE79E4"/>
    <w:rsid w:val="00BF0F73"/>
    <w:rsid w:val="00BF1172"/>
    <w:rsid w:val="00BF1804"/>
    <w:rsid w:val="00BF1870"/>
    <w:rsid w:val="00BF1AE6"/>
    <w:rsid w:val="00BF1B3B"/>
    <w:rsid w:val="00BF334A"/>
    <w:rsid w:val="00BF36A5"/>
    <w:rsid w:val="00BF375D"/>
    <w:rsid w:val="00BF4C28"/>
    <w:rsid w:val="00BF545A"/>
    <w:rsid w:val="00BF6C9C"/>
    <w:rsid w:val="00C0089A"/>
    <w:rsid w:val="00C01288"/>
    <w:rsid w:val="00C01A69"/>
    <w:rsid w:val="00C01ED9"/>
    <w:rsid w:val="00C0405D"/>
    <w:rsid w:val="00C044A0"/>
    <w:rsid w:val="00C04E39"/>
    <w:rsid w:val="00C053AC"/>
    <w:rsid w:val="00C059C3"/>
    <w:rsid w:val="00C06C55"/>
    <w:rsid w:val="00C06D58"/>
    <w:rsid w:val="00C078B6"/>
    <w:rsid w:val="00C10AB7"/>
    <w:rsid w:val="00C10CA0"/>
    <w:rsid w:val="00C118EE"/>
    <w:rsid w:val="00C11A74"/>
    <w:rsid w:val="00C1259A"/>
    <w:rsid w:val="00C125A5"/>
    <w:rsid w:val="00C148F7"/>
    <w:rsid w:val="00C14E3B"/>
    <w:rsid w:val="00C15024"/>
    <w:rsid w:val="00C154D5"/>
    <w:rsid w:val="00C15A95"/>
    <w:rsid w:val="00C15C41"/>
    <w:rsid w:val="00C15FE0"/>
    <w:rsid w:val="00C16811"/>
    <w:rsid w:val="00C17E85"/>
    <w:rsid w:val="00C2003F"/>
    <w:rsid w:val="00C20CCD"/>
    <w:rsid w:val="00C21BDC"/>
    <w:rsid w:val="00C229EC"/>
    <w:rsid w:val="00C24339"/>
    <w:rsid w:val="00C25ED1"/>
    <w:rsid w:val="00C27075"/>
    <w:rsid w:val="00C278E2"/>
    <w:rsid w:val="00C2798A"/>
    <w:rsid w:val="00C27C17"/>
    <w:rsid w:val="00C31045"/>
    <w:rsid w:val="00C312D1"/>
    <w:rsid w:val="00C314D3"/>
    <w:rsid w:val="00C33B91"/>
    <w:rsid w:val="00C33B96"/>
    <w:rsid w:val="00C34054"/>
    <w:rsid w:val="00C35180"/>
    <w:rsid w:val="00C356E4"/>
    <w:rsid w:val="00C35937"/>
    <w:rsid w:val="00C360AF"/>
    <w:rsid w:val="00C37080"/>
    <w:rsid w:val="00C379A6"/>
    <w:rsid w:val="00C401B8"/>
    <w:rsid w:val="00C40402"/>
    <w:rsid w:val="00C4148E"/>
    <w:rsid w:val="00C41852"/>
    <w:rsid w:val="00C41B4F"/>
    <w:rsid w:val="00C41FF9"/>
    <w:rsid w:val="00C42D62"/>
    <w:rsid w:val="00C43364"/>
    <w:rsid w:val="00C433D4"/>
    <w:rsid w:val="00C437FC"/>
    <w:rsid w:val="00C43C19"/>
    <w:rsid w:val="00C44006"/>
    <w:rsid w:val="00C442C8"/>
    <w:rsid w:val="00C455C6"/>
    <w:rsid w:val="00C4587A"/>
    <w:rsid w:val="00C46431"/>
    <w:rsid w:val="00C46F03"/>
    <w:rsid w:val="00C47376"/>
    <w:rsid w:val="00C474D2"/>
    <w:rsid w:val="00C50677"/>
    <w:rsid w:val="00C50EE4"/>
    <w:rsid w:val="00C50F0C"/>
    <w:rsid w:val="00C52D4E"/>
    <w:rsid w:val="00C52EFB"/>
    <w:rsid w:val="00C53E6E"/>
    <w:rsid w:val="00C54A84"/>
    <w:rsid w:val="00C54C7B"/>
    <w:rsid w:val="00C54CF4"/>
    <w:rsid w:val="00C55D38"/>
    <w:rsid w:val="00C5641D"/>
    <w:rsid w:val="00C56775"/>
    <w:rsid w:val="00C56EE9"/>
    <w:rsid w:val="00C57996"/>
    <w:rsid w:val="00C57E42"/>
    <w:rsid w:val="00C57F67"/>
    <w:rsid w:val="00C57FFE"/>
    <w:rsid w:val="00C60312"/>
    <w:rsid w:val="00C606A2"/>
    <w:rsid w:val="00C60DD5"/>
    <w:rsid w:val="00C60DE0"/>
    <w:rsid w:val="00C61171"/>
    <w:rsid w:val="00C61C8A"/>
    <w:rsid w:val="00C623AD"/>
    <w:rsid w:val="00C62895"/>
    <w:rsid w:val="00C62FA8"/>
    <w:rsid w:val="00C6380B"/>
    <w:rsid w:val="00C63B43"/>
    <w:rsid w:val="00C645F6"/>
    <w:rsid w:val="00C64ACA"/>
    <w:rsid w:val="00C655A0"/>
    <w:rsid w:val="00C65F13"/>
    <w:rsid w:val="00C65F41"/>
    <w:rsid w:val="00C661B0"/>
    <w:rsid w:val="00C665CB"/>
    <w:rsid w:val="00C6666A"/>
    <w:rsid w:val="00C673D6"/>
    <w:rsid w:val="00C67714"/>
    <w:rsid w:val="00C67852"/>
    <w:rsid w:val="00C678D6"/>
    <w:rsid w:val="00C71A53"/>
    <w:rsid w:val="00C71C18"/>
    <w:rsid w:val="00C73AE3"/>
    <w:rsid w:val="00C753F9"/>
    <w:rsid w:val="00C758B2"/>
    <w:rsid w:val="00C758FA"/>
    <w:rsid w:val="00C75929"/>
    <w:rsid w:val="00C75F1B"/>
    <w:rsid w:val="00C7622F"/>
    <w:rsid w:val="00C768CD"/>
    <w:rsid w:val="00C76A54"/>
    <w:rsid w:val="00C779B0"/>
    <w:rsid w:val="00C77F5C"/>
    <w:rsid w:val="00C80468"/>
    <w:rsid w:val="00C80ED2"/>
    <w:rsid w:val="00C8122C"/>
    <w:rsid w:val="00C816B1"/>
    <w:rsid w:val="00C81FE8"/>
    <w:rsid w:val="00C82A45"/>
    <w:rsid w:val="00C82BAF"/>
    <w:rsid w:val="00C8330E"/>
    <w:rsid w:val="00C840D6"/>
    <w:rsid w:val="00C840E8"/>
    <w:rsid w:val="00C8424B"/>
    <w:rsid w:val="00C84CDB"/>
    <w:rsid w:val="00C85876"/>
    <w:rsid w:val="00C85C5B"/>
    <w:rsid w:val="00C866CC"/>
    <w:rsid w:val="00C86790"/>
    <w:rsid w:val="00C8694A"/>
    <w:rsid w:val="00C876FF"/>
    <w:rsid w:val="00C87DC7"/>
    <w:rsid w:val="00C90EB5"/>
    <w:rsid w:val="00C91185"/>
    <w:rsid w:val="00C9223D"/>
    <w:rsid w:val="00C92C4D"/>
    <w:rsid w:val="00C92DAF"/>
    <w:rsid w:val="00C93C3F"/>
    <w:rsid w:val="00C9452E"/>
    <w:rsid w:val="00C94CEC"/>
    <w:rsid w:val="00C95D13"/>
    <w:rsid w:val="00C9607F"/>
    <w:rsid w:val="00C96302"/>
    <w:rsid w:val="00C97280"/>
    <w:rsid w:val="00CA00EC"/>
    <w:rsid w:val="00CA069D"/>
    <w:rsid w:val="00CA20A1"/>
    <w:rsid w:val="00CA2ABB"/>
    <w:rsid w:val="00CA2C38"/>
    <w:rsid w:val="00CA2F9E"/>
    <w:rsid w:val="00CA3C39"/>
    <w:rsid w:val="00CA4225"/>
    <w:rsid w:val="00CA442D"/>
    <w:rsid w:val="00CA4743"/>
    <w:rsid w:val="00CA58C6"/>
    <w:rsid w:val="00CA65DF"/>
    <w:rsid w:val="00CA7B89"/>
    <w:rsid w:val="00CA7E5C"/>
    <w:rsid w:val="00CA7ED1"/>
    <w:rsid w:val="00CB0A72"/>
    <w:rsid w:val="00CB0A7A"/>
    <w:rsid w:val="00CB10ED"/>
    <w:rsid w:val="00CB1272"/>
    <w:rsid w:val="00CB2409"/>
    <w:rsid w:val="00CB2578"/>
    <w:rsid w:val="00CB2C1D"/>
    <w:rsid w:val="00CB3EFC"/>
    <w:rsid w:val="00CB3FC9"/>
    <w:rsid w:val="00CB41E5"/>
    <w:rsid w:val="00CB4677"/>
    <w:rsid w:val="00CB4CC1"/>
    <w:rsid w:val="00CB56AE"/>
    <w:rsid w:val="00CB5CE0"/>
    <w:rsid w:val="00CB61E3"/>
    <w:rsid w:val="00CB6A73"/>
    <w:rsid w:val="00CB761D"/>
    <w:rsid w:val="00CB7A98"/>
    <w:rsid w:val="00CC0030"/>
    <w:rsid w:val="00CC06B1"/>
    <w:rsid w:val="00CC06D7"/>
    <w:rsid w:val="00CC1C04"/>
    <w:rsid w:val="00CC22BF"/>
    <w:rsid w:val="00CC2F7E"/>
    <w:rsid w:val="00CC3315"/>
    <w:rsid w:val="00CC4AC0"/>
    <w:rsid w:val="00CC53F9"/>
    <w:rsid w:val="00CC5D8A"/>
    <w:rsid w:val="00CC6621"/>
    <w:rsid w:val="00CC6645"/>
    <w:rsid w:val="00CC723A"/>
    <w:rsid w:val="00CC7491"/>
    <w:rsid w:val="00CD27EF"/>
    <w:rsid w:val="00CD2946"/>
    <w:rsid w:val="00CD3347"/>
    <w:rsid w:val="00CD3B19"/>
    <w:rsid w:val="00CD3B56"/>
    <w:rsid w:val="00CD56C0"/>
    <w:rsid w:val="00CD57FF"/>
    <w:rsid w:val="00CD587B"/>
    <w:rsid w:val="00CD60AE"/>
    <w:rsid w:val="00CD623B"/>
    <w:rsid w:val="00CD6659"/>
    <w:rsid w:val="00CD6CD0"/>
    <w:rsid w:val="00CD7374"/>
    <w:rsid w:val="00CE0AA2"/>
    <w:rsid w:val="00CE1FBC"/>
    <w:rsid w:val="00CE2A88"/>
    <w:rsid w:val="00CE2B97"/>
    <w:rsid w:val="00CE2EA0"/>
    <w:rsid w:val="00CE4054"/>
    <w:rsid w:val="00CE47E4"/>
    <w:rsid w:val="00CE5195"/>
    <w:rsid w:val="00CE5375"/>
    <w:rsid w:val="00CE59CC"/>
    <w:rsid w:val="00CE72BE"/>
    <w:rsid w:val="00CE764C"/>
    <w:rsid w:val="00CE7D01"/>
    <w:rsid w:val="00CF15F3"/>
    <w:rsid w:val="00CF1F28"/>
    <w:rsid w:val="00CF2730"/>
    <w:rsid w:val="00CF27BB"/>
    <w:rsid w:val="00CF2B43"/>
    <w:rsid w:val="00CF3285"/>
    <w:rsid w:val="00CF5430"/>
    <w:rsid w:val="00CF60D0"/>
    <w:rsid w:val="00CF7439"/>
    <w:rsid w:val="00CF7A6F"/>
    <w:rsid w:val="00CF7DFB"/>
    <w:rsid w:val="00D001A0"/>
    <w:rsid w:val="00D0055B"/>
    <w:rsid w:val="00D0095C"/>
    <w:rsid w:val="00D00A32"/>
    <w:rsid w:val="00D01634"/>
    <w:rsid w:val="00D01DA3"/>
    <w:rsid w:val="00D01DEA"/>
    <w:rsid w:val="00D02234"/>
    <w:rsid w:val="00D02671"/>
    <w:rsid w:val="00D03174"/>
    <w:rsid w:val="00D03AAE"/>
    <w:rsid w:val="00D03B53"/>
    <w:rsid w:val="00D040DA"/>
    <w:rsid w:val="00D043F6"/>
    <w:rsid w:val="00D057AA"/>
    <w:rsid w:val="00D06B99"/>
    <w:rsid w:val="00D1083A"/>
    <w:rsid w:val="00D10933"/>
    <w:rsid w:val="00D1093A"/>
    <w:rsid w:val="00D10B1F"/>
    <w:rsid w:val="00D11B2B"/>
    <w:rsid w:val="00D12148"/>
    <w:rsid w:val="00D12E1C"/>
    <w:rsid w:val="00D14107"/>
    <w:rsid w:val="00D14254"/>
    <w:rsid w:val="00D14377"/>
    <w:rsid w:val="00D144E0"/>
    <w:rsid w:val="00D151BB"/>
    <w:rsid w:val="00D1662B"/>
    <w:rsid w:val="00D16E0E"/>
    <w:rsid w:val="00D1711B"/>
    <w:rsid w:val="00D17B75"/>
    <w:rsid w:val="00D17C21"/>
    <w:rsid w:val="00D2021C"/>
    <w:rsid w:val="00D2058F"/>
    <w:rsid w:val="00D205FD"/>
    <w:rsid w:val="00D21275"/>
    <w:rsid w:val="00D21887"/>
    <w:rsid w:val="00D21CB1"/>
    <w:rsid w:val="00D2291B"/>
    <w:rsid w:val="00D23161"/>
    <w:rsid w:val="00D234EC"/>
    <w:rsid w:val="00D235FD"/>
    <w:rsid w:val="00D23A75"/>
    <w:rsid w:val="00D23B7E"/>
    <w:rsid w:val="00D24255"/>
    <w:rsid w:val="00D24B0C"/>
    <w:rsid w:val="00D24B2B"/>
    <w:rsid w:val="00D25135"/>
    <w:rsid w:val="00D25308"/>
    <w:rsid w:val="00D25433"/>
    <w:rsid w:val="00D25585"/>
    <w:rsid w:val="00D261AC"/>
    <w:rsid w:val="00D31009"/>
    <w:rsid w:val="00D314A4"/>
    <w:rsid w:val="00D31713"/>
    <w:rsid w:val="00D31C9E"/>
    <w:rsid w:val="00D32566"/>
    <w:rsid w:val="00D3268F"/>
    <w:rsid w:val="00D32E31"/>
    <w:rsid w:val="00D33B54"/>
    <w:rsid w:val="00D33B5D"/>
    <w:rsid w:val="00D35CAB"/>
    <w:rsid w:val="00D36467"/>
    <w:rsid w:val="00D36F89"/>
    <w:rsid w:val="00D409A8"/>
    <w:rsid w:val="00D40F75"/>
    <w:rsid w:val="00D41A15"/>
    <w:rsid w:val="00D426DC"/>
    <w:rsid w:val="00D44CCE"/>
    <w:rsid w:val="00D45018"/>
    <w:rsid w:val="00D458FD"/>
    <w:rsid w:val="00D45F86"/>
    <w:rsid w:val="00D470A3"/>
    <w:rsid w:val="00D479B2"/>
    <w:rsid w:val="00D47B23"/>
    <w:rsid w:val="00D47B4D"/>
    <w:rsid w:val="00D5003F"/>
    <w:rsid w:val="00D50496"/>
    <w:rsid w:val="00D509B8"/>
    <w:rsid w:val="00D50D56"/>
    <w:rsid w:val="00D512FF"/>
    <w:rsid w:val="00D51F41"/>
    <w:rsid w:val="00D5210E"/>
    <w:rsid w:val="00D52DD0"/>
    <w:rsid w:val="00D53A2D"/>
    <w:rsid w:val="00D53C5F"/>
    <w:rsid w:val="00D5405A"/>
    <w:rsid w:val="00D54734"/>
    <w:rsid w:val="00D55275"/>
    <w:rsid w:val="00D5638A"/>
    <w:rsid w:val="00D571FC"/>
    <w:rsid w:val="00D57FD6"/>
    <w:rsid w:val="00D6052A"/>
    <w:rsid w:val="00D61478"/>
    <w:rsid w:val="00D61535"/>
    <w:rsid w:val="00D617C2"/>
    <w:rsid w:val="00D61AC2"/>
    <w:rsid w:val="00D61FA0"/>
    <w:rsid w:val="00D622F4"/>
    <w:rsid w:val="00D628AA"/>
    <w:rsid w:val="00D63188"/>
    <w:rsid w:val="00D63459"/>
    <w:rsid w:val="00D644B5"/>
    <w:rsid w:val="00D64748"/>
    <w:rsid w:val="00D64A1A"/>
    <w:rsid w:val="00D64B41"/>
    <w:rsid w:val="00D64BDC"/>
    <w:rsid w:val="00D64DFD"/>
    <w:rsid w:val="00D6534F"/>
    <w:rsid w:val="00D65629"/>
    <w:rsid w:val="00D65A69"/>
    <w:rsid w:val="00D65E28"/>
    <w:rsid w:val="00D66960"/>
    <w:rsid w:val="00D700ED"/>
    <w:rsid w:val="00D70B30"/>
    <w:rsid w:val="00D7107A"/>
    <w:rsid w:val="00D713B7"/>
    <w:rsid w:val="00D73418"/>
    <w:rsid w:val="00D749DB"/>
    <w:rsid w:val="00D74A38"/>
    <w:rsid w:val="00D750BF"/>
    <w:rsid w:val="00D75242"/>
    <w:rsid w:val="00D75303"/>
    <w:rsid w:val="00D76468"/>
    <w:rsid w:val="00D76ED7"/>
    <w:rsid w:val="00D771E9"/>
    <w:rsid w:val="00D7720B"/>
    <w:rsid w:val="00D77456"/>
    <w:rsid w:val="00D77F49"/>
    <w:rsid w:val="00D801AA"/>
    <w:rsid w:val="00D80665"/>
    <w:rsid w:val="00D80AFC"/>
    <w:rsid w:val="00D80E4E"/>
    <w:rsid w:val="00D812C2"/>
    <w:rsid w:val="00D82A41"/>
    <w:rsid w:val="00D830F3"/>
    <w:rsid w:val="00D83572"/>
    <w:rsid w:val="00D83AAD"/>
    <w:rsid w:val="00D843D9"/>
    <w:rsid w:val="00D84540"/>
    <w:rsid w:val="00D84A67"/>
    <w:rsid w:val="00D84ED8"/>
    <w:rsid w:val="00D84EE7"/>
    <w:rsid w:val="00D856F7"/>
    <w:rsid w:val="00D85DC8"/>
    <w:rsid w:val="00D864B1"/>
    <w:rsid w:val="00D86ECE"/>
    <w:rsid w:val="00D86F30"/>
    <w:rsid w:val="00D879C9"/>
    <w:rsid w:val="00D90D7B"/>
    <w:rsid w:val="00D90DF6"/>
    <w:rsid w:val="00D918B6"/>
    <w:rsid w:val="00D9241B"/>
    <w:rsid w:val="00D92558"/>
    <w:rsid w:val="00D93428"/>
    <w:rsid w:val="00D93698"/>
    <w:rsid w:val="00D9463E"/>
    <w:rsid w:val="00D94BF8"/>
    <w:rsid w:val="00D95304"/>
    <w:rsid w:val="00D95D22"/>
    <w:rsid w:val="00D96B6B"/>
    <w:rsid w:val="00D9797E"/>
    <w:rsid w:val="00DA070E"/>
    <w:rsid w:val="00DA3108"/>
    <w:rsid w:val="00DA3D0B"/>
    <w:rsid w:val="00DA4446"/>
    <w:rsid w:val="00DA44C7"/>
    <w:rsid w:val="00DA6408"/>
    <w:rsid w:val="00DA6447"/>
    <w:rsid w:val="00DA6744"/>
    <w:rsid w:val="00DA6D1B"/>
    <w:rsid w:val="00DA6E4F"/>
    <w:rsid w:val="00DA702D"/>
    <w:rsid w:val="00DB0490"/>
    <w:rsid w:val="00DB04A1"/>
    <w:rsid w:val="00DB0CD3"/>
    <w:rsid w:val="00DB2D3C"/>
    <w:rsid w:val="00DB3A60"/>
    <w:rsid w:val="00DB3EAA"/>
    <w:rsid w:val="00DB3EDA"/>
    <w:rsid w:val="00DB3EEE"/>
    <w:rsid w:val="00DB4AE2"/>
    <w:rsid w:val="00DB5448"/>
    <w:rsid w:val="00DB608D"/>
    <w:rsid w:val="00DB7199"/>
    <w:rsid w:val="00DB7C3D"/>
    <w:rsid w:val="00DC0DE5"/>
    <w:rsid w:val="00DC127D"/>
    <w:rsid w:val="00DC2EB2"/>
    <w:rsid w:val="00DC34A6"/>
    <w:rsid w:val="00DC45A3"/>
    <w:rsid w:val="00DC4ABF"/>
    <w:rsid w:val="00DC5098"/>
    <w:rsid w:val="00DC52A3"/>
    <w:rsid w:val="00DC5A4D"/>
    <w:rsid w:val="00DC605F"/>
    <w:rsid w:val="00DC6159"/>
    <w:rsid w:val="00DC72E9"/>
    <w:rsid w:val="00DC776F"/>
    <w:rsid w:val="00DD094F"/>
    <w:rsid w:val="00DD1562"/>
    <w:rsid w:val="00DD159B"/>
    <w:rsid w:val="00DD15BA"/>
    <w:rsid w:val="00DD1795"/>
    <w:rsid w:val="00DD1F5B"/>
    <w:rsid w:val="00DD3280"/>
    <w:rsid w:val="00DD3EC6"/>
    <w:rsid w:val="00DD564A"/>
    <w:rsid w:val="00DD5A49"/>
    <w:rsid w:val="00DD628A"/>
    <w:rsid w:val="00DD7B8C"/>
    <w:rsid w:val="00DE04C7"/>
    <w:rsid w:val="00DE1BC8"/>
    <w:rsid w:val="00DE2AE6"/>
    <w:rsid w:val="00DE2C5F"/>
    <w:rsid w:val="00DE30B7"/>
    <w:rsid w:val="00DE3E08"/>
    <w:rsid w:val="00DE4046"/>
    <w:rsid w:val="00DE4303"/>
    <w:rsid w:val="00DE4670"/>
    <w:rsid w:val="00DE49AE"/>
    <w:rsid w:val="00DE4DE9"/>
    <w:rsid w:val="00DE5205"/>
    <w:rsid w:val="00DE60CA"/>
    <w:rsid w:val="00DE62A7"/>
    <w:rsid w:val="00DE68F4"/>
    <w:rsid w:val="00DE69C8"/>
    <w:rsid w:val="00DE74F2"/>
    <w:rsid w:val="00DE7973"/>
    <w:rsid w:val="00DF0205"/>
    <w:rsid w:val="00DF0D76"/>
    <w:rsid w:val="00DF1424"/>
    <w:rsid w:val="00DF147C"/>
    <w:rsid w:val="00DF242D"/>
    <w:rsid w:val="00DF2BC9"/>
    <w:rsid w:val="00DF3DC0"/>
    <w:rsid w:val="00DF5015"/>
    <w:rsid w:val="00DF6670"/>
    <w:rsid w:val="00DF6AED"/>
    <w:rsid w:val="00DF6E5B"/>
    <w:rsid w:val="00DF7DB1"/>
    <w:rsid w:val="00E008A4"/>
    <w:rsid w:val="00E00956"/>
    <w:rsid w:val="00E009BF"/>
    <w:rsid w:val="00E00B69"/>
    <w:rsid w:val="00E0117B"/>
    <w:rsid w:val="00E014C8"/>
    <w:rsid w:val="00E016A0"/>
    <w:rsid w:val="00E03D01"/>
    <w:rsid w:val="00E03EE4"/>
    <w:rsid w:val="00E048DF"/>
    <w:rsid w:val="00E04D55"/>
    <w:rsid w:val="00E04F3E"/>
    <w:rsid w:val="00E061E8"/>
    <w:rsid w:val="00E0624D"/>
    <w:rsid w:val="00E06306"/>
    <w:rsid w:val="00E06B0E"/>
    <w:rsid w:val="00E103D2"/>
    <w:rsid w:val="00E1044B"/>
    <w:rsid w:val="00E10A6B"/>
    <w:rsid w:val="00E10C32"/>
    <w:rsid w:val="00E1148A"/>
    <w:rsid w:val="00E11779"/>
    <w:rsid w:val="00E12000"/>
    <w:rsid w:val="00E13B27"/>
    <w:rsid w:val="00E13BB4"/>
    <w:rsid w:val="00E13C62"/>
    <w:rsid w:val="00E14F88"/>
    <w:rsid w:val="00E150F4"/>
    <w:rsid w:val="00E15150"/>
    <w:rsid w:val="00E1649D"/>
    <w:rsid w:val="00E20015"/>
    <w:rsid w:val="00E2118A"/>
    <w:rsid w:val="00E21C4E"/>
    <w:rsid w:val="00E21D2A"/>
    <w:rsid w:val="00E23B5E"/>
    <w:rsid w:val="00E24286"/>
    <w:rsid w:val="00E24B7C"/>
    <w:rsid w:val="00E25132"/>
    <w:rsid w:val="00E25A4E"/>
    <w:rsid w:val="00E25BB4"/>
    <w:rsid w:val="00E2643D"/>
    <w:rsid w:val="00E27C89"/>
    <w:rsid w:val="00E3015C"/>
    <w:rsid w:val="00E30D7F"/>
    <w:rsid w:val="00E33580"/>
    <w:rsid w:val="00E33AED"/>
    <w:rsid w:val="00E35C5A"/>
    <w:rsid w:val="00E35EF2"/>
    <w:rsid w:val="00E36536"/>
    <w:rsid w:val="00E36B8A"/>
    <w:rsid w:val="00E4032A"/>
    <w:rsid w:val="00E41340"/>
    <w:rsid w:val="00E41D3A"/>
    <w:rsid w:val="00E420B9"/>
    <w:rsid w:val="00E42569"/>
    <w:rsid w:val="00E42B04"/>
    <w:rsid w:val="00E42BC8"/>
    <w:rsid w:val="00E42CB0"/>
    <w:rsid w:val="00E43655"/>
    <w:rsid w:val="00E43CD4"/>
    <w:rsid w:val="00E442E8"/>
    <w:rsid w:val="00E446FD"/>
    <w:rsid w:val="00E45544"/>
    <w:rsid w:val="00E45BD7"/>
    <w:rsid w:val="00E45EEC"/>
    <w:rsid w:val="00E461E4"/>
    <w:rsid w:val="00E46504"/>
    <w:rsid w:val="00E4714C"/>
    <w:rsid w:val="00E4730A"/>
    <w:rsid w:val="00E502EC"/>
    <w:rsid w:val="00E50349"/>
    <w:rsid w:val="00E51052"/>
    <w:rsid w:val="00E516E9"/>
    <w:rsid w:val="00E51FFA"/>
    <w:rsid w:val="00E5253D"/>
    <w:rsid w:val="00E5376B"/>
    <w:rsid w:val="00E53813"/>
    <w:rsid w:val="00E5393C"/>
    <w:rsid w:val="00E5396E"/>
    <w:rsid w:val="00E53DD3"/>
    <w:rsid w:val="00E54354"/>
    <w:rsid w:val="00E54963"/>
    <w:rsid w:val="00E5578F"/>
    <w:rsid w:val="00E56002"/>
    <w:rsid w:val="00E56D1E"/>
    <w:rsid w:val="00E60C14"/>
    <w:rsid w:val="00E616D6"/>
    <w:rsid w:val="00E6324F"/>
    <w:rsid w:val="00E63A00"/>
    <w:rsid w:val="00E63A60"/>
    <w:rsid w:val="00E63D89"/>
    <w:rsid w:val="00E65ECE"/>
    <w:rsid w:val="00E661F8"/>
    <w:rsid w:val="00E673DE"/>
    <w:rsid w:val="00E675E4"/>
    <w:rsid w:val="00E67CFF"/>
    <w:rsid w:val="00E70098"/>
    <w:rsid w:val="00E723C5"/>
    <w:rsid w:val="00E732DD"/>
    <w:rsid w:val="00E73670"/>
    <w:rsid w:val="00E73FCD"/>
    <w:rsid w:val="00E7537E"/>
    <w:rsid w:val="00E75D86"/>
    <w:rsid w:val="00E7628B"/>
    <w:rsid w:val="00E7646D"/>
    <w:rsid w:val="00E769B6"/>
    <w:rsid w:val="00E77AF2"/>
    <w:rsid w:val="00E77CF1"/>
    <w:rsid w:val="00E77F79"/>
    <w:rsid w:val="00E8047E"/>
    <w:rsid w:val="00E80562"/>
    <w:rsid w:val="00E805C1"/>
    <w:rsid w:val="00E81B84"/>
    <w:rsid w:val="00E82AC7"/>
    <w:rsid w:val="00E82D07"/>
    <w:rsid w:val="00E82DB3"/>
    <w:rsid w:val="00E834A1"/>
    <w:rsid w:val="00E83745"/>
    <w:rsid w:val="00E83A0A"/>
    <w:rsid w:val="00E844A4"/>
    <w:rsid w:val="00E85987"/>
    <w:rsid w:val="00E86EAA"/>
    <w:rsid w:val="00E8714D"/>
    <w:rsid w:val="00E874CC"/>
    <w:rsid w:val="00E875CA"/>
    <w:rsid w:val="00E87C51"/>
    <w:rsid w:val="00E90D04"/>
    <w:rsid w:val="00E9106F"/>
    <w:rsid w:val="00E91241"/>
    <w:rsid w:val="00E91686"/>
    <w:rsid w:val="00E91E51"/>
    <w:rsid w:val="00E9272B"/>
    <w:rsid w:val="00E92CD2"/>
    <w:rsid w:val="00E936CE"/>
    <w:rsid w:val="00E93A3A"/>
    <w:rsid w:val="00E93B40"/>
    <w:rsid w:val="00E93BEC"/>
    <w:rsid w:val="00E93E3E"/>
    <w:rsid w:val="00E94719"/>
    <w:rsid w:val="00E94B2E"/>
    <w:rsid w:val="00E94F35"/>
    <w:rsid w:val="00E95135"/>
    <w:rsid w:val="00E95C7C"/>
    <w:rsid w:val="00E9687F"/>
    <w:rsid w:val="00E97DDE"/>
    <w:rsid w:val="00EA08F3"/>
    <w:rsid w:val="00EA0F80"/>
    <w:rsid w:val="00EA1C85"/>
    <w:rsid w:val="00EA1CD5"/>
    <w:rsid w:val="00EA2168"/>
    <w:rsid w:val="00EA24CA"/>
    <w:rsid w:val="00EA281F"/>
    <w:rsid w:val="00EA325E"/>
    <w:rsid w:val="00EA3260"/>
    <w:rsid w:val="00EA3B9F"/>
    <w:rsid w:val="00EA3CD1"/>
    <w:rsid w:val="00EA4200"/>
    <w:rsid w:val="00EA4287"/>
    <w:rsid w:val="00EA520B"/>
    <w:rsid w:val="00EA5210"/>
    <w:rsid w:val="00EA54EC"/>
    <w:rsid w:val="00EA5B62"/>
    <w:rsid w:val="00EA5CA6"/>
    <w:rsid w:val="00EA6448"/>
    <w:rsid w:val="00EA6D84"/>
    <w:rsid w:val="00EA70E5"/>
    <w:rsid w:val="00EA7535"/>
    <w:rsid w:val="00EA7DEA"/>
    <w:rsid w:val="00EB02AB"/>
    <w:rsid w:val="00EB043A"/>
    <w:rsid w:val="00EB0D75"/>
    <w:rsid w:val="00EB1AE3"/>
    <w:rsid w:val="00EB2600"/>
    <w:rsid w:val="00EB263C"/>
    <w:rsid w:val="00EB2E88"/>
    <w:rsid w:val="00EB3E16"/>
    <w:rsid w:val="00EB4A83"/>
    <w:rsid w:val="00EB4BAA"/>
    <w:rsid w:val="00EB6102"/>
    <w:rsid w:val="00EB66D1"/>
    <w:rsid w:val="00EB6D5D"/>
    <w:rsid w:val="00EB740B"/>
    <w:rsid w:val="00EB78AD"/>
    <w:rsid w:val="00EB7E0C"/>
    <w:rsid w:val="00EB7E26"/>
    <w:rsid w:val="00EB7F2C"/>
    <w:rsid w:val="00EC05AF"/>
    <w:rsid w:val="00EC13A4"/>
    <w:rsid w:val="00EC19D3"/>
    <w:rsid w:val="00EC2DDF"/>
    <w:rsid w:val="00EC2FC9"/>
    <w:rsid w:val="00EC3244"/>
    <w:rsid w:val="00EC344A"/>
    <w:rsid w:val="00EC3565"/>
    <w:rsid w:val="00EC3D3C"/>
    <w:rsid w:val="00EC42C2"/>
    <w:rsid w:val="00EC5B84"/>
    <w:rsid w:val="00EC5E52"/>
    <w:rsid w:val="00EC6F7D"/>
    <w:rsid w:val="00EC7F49"/>
    <w:rsid w:val="00EC7FF4"/>
    <w:rsid w:val="00ED0BE2"/>
    <w:rsid w:val="00ED0F7D"/>
    <w:rsid w:val="00ED2597"/>
    <w:rsid w:val="00ED3669"/>
    <w:rsid w:val="00ED47F2"/>
    <w:rsid w:val="00ED49C7"/>
    <w:rsid w:val="00ED4BB0"/>
    <w:rsid w:val="00ED4EFF"/>
    <w:rsid w:val="00ED5B53"/>
    <w:rsid w:val="00ED68D0"/>
    <w:rsid w:val="00ED6BEB"/>
    <w:rsid w:val="00ED6F6A"/>
    <w:rsid w:val="00ED70C2"/>
    <w:rsid w:val="00ED72B6"/>
    <w:rsid w:val="00EE0279"/>
    <w:rsid w:val="00EE04A0"/>
    <w:rsid w:val="00EE06C6"/>
    <w:rsid w:val="00EE1841"/>
    <w:rsid w:val="00EE241B"/>
    <w:rsid w:val="00EE2949"/>
    <w:rsid w:val="00EE2F74"/>
    <w:rsid w:val="00EE379F"/>
    <w:rsid w:val="00EE390E"/>
    <w:rsid w:val="00EE43ED"/>
    <w:rsid w:val="00EE4678"/>
    <w:rsid w:val="00EE4718"/>
    <w:rsid w:val="00EE514D"/>
    <w:rsid w:val="00EE59A6"/>
    <w:rsid w:val="00EE5D0E"/>
    <w:rsid w:val="00EE68F0"/>
    <w:rsid w:val="00EE6974"/>
    <w:rsid w:val="00EE6D62"/>
    <w:rsid w:val="00EE77F2"/>
    <w:rsid w:val="00EE7E50"/>
    <w:rsid w:val="00EE7F70"/>
    <w:rsid w:val="00EF0682"/>
    <w:rsid w:val="00EF07D1"/>
    <w:rsid w:val="00EF0FBB"/>
    <w:rsid w:val="00EF1290"/>
    <w:rsid w:val="00EF25FE"/>
    <w:rsid w:val="00EF3693"/>
    <w:rsid w:val="00EF450A"/>
    <w:rsid w:val="00EF4E49"/>
    <w:rsid w:val="00EF5AAF"/>
    <w:rsid w:val="00EF5B53"/>
    <w:rsid w:val="00EF5E91"/>
    <w:rsid w:val="00EF6194"/>
    <w:rsid w:val="00EF68E4"/>
    <w:rsid w:val="00F00878"/>
    <w:rsid w:val="00F00DCD"/>
    <w:rsid w:val="00F01368"/>
    <w:rsid w:val="00F01D4A"/>
    <w:rsid w:val="00F01FF2"/>
    <w:rsid w:val="00F02399"/>
    <w:rsid w:val="00F029FA"/>
    <w:rsid w:val="00F02E10"/>
    <w:rsid w:val="00F02FDC"/>
    <w:rsid w:val="00F034EB"/>
    <w:rsid w:val="00F03BBF"/>
    <w:rsid w:val="00F044F8"/>
    <w:rsid w:val="00F04BCB"/>
    <w:rsid w:val="00F04C6A"/>
    <w:rsid w:val="00F05EE5"/>
    <w:rsid w:val="00F065B0"/>
    <w:rsid w:val="00F06A66"/>
    <w:rsid w:val="00F078E7"/>
    <w:rsid w:val="00F10D39"/>
    <w:rsid w:val="00F10D96"/>
    <w:rsid w:val="00F11542"/>
    <w:rsid w:val="00F11AC9"/>
    <w:rsid w:val="00F11B90"/>
    <w:rsid w:val="00F11FD5"/>
    <w:rsid w:val="00F120AA"/>
    <w:rsid w:val="00F1217E"/>
    <w:rsid w:val="00F12901"/>
    <w:rsid w:val="00F133ED"/>
    <w:rsid w:val="00F1352C"/>
    <w:rsid w:val="00F13D3B"/>
    <w:rsid w:val="00F13DA5"/>
    <w:rsid w:val="00F15692"/>
    <w:rsid w:val="00F15FF1"/>
    <w:rsid w:val="00F16139"/>
    <w:rsid w:val="00F161E2"/>
    <w:rsid w:val="00F17172"/>
    <w:rsid w:val="00F20396"/>
    <w:rsid w:val="00F2058B"/>
    <w:rsid w:val="00F20AE7"/>
    <w:rsid w:val="00F20F04"/>
    <w:rsid w:val="00F22DE0"/>
    <w:rsid w:val="00F23192"/>
    <w:rsid w:val="00F241F3"/>
    <w:rsid w:val="00F2572C"/>
    <w:rsid w:val="00F25A86"/>
    <w:rsid w:val="00F25C4C"/>
    <w:rsid w:val="00F25C6D"/>
    <w:rsid w:val="00F25E06"/>
    <w:rsid w:val="00F27428"/>
    <w:rsid w:val="00F30A81"/>
    <w:rsid w:val="00F311DB"/>
    <w:rsid w:val="00F312D4"/>
    <w:rsid w:val="00F318BE"/>
    <w:rsid w:val="00F31DDF"/>
    <w:rsid w:val="00F33530"/>
    <w:rsid w:val="00F3360F"/>
    <w:rsid w:val="00F33619"/>
    <w:rsid w:val="00F33939"/>
    <w:rsid w:val="00F33CDA"/>
    <w:rsid w:val="00F33F21"/>
    <w:rsid w:val="00F3497C"/>
    <w:rsid w:val="00F34EA7"/>
    <w:rsid w:val="00F34FF4"/>
    <w:rsid w:val="00F358DA"/>
    <w:rsid w:val="00F36660"/>
    <w:rsid w:val="00F36DAF"/>
    <w:rsid w:val="00F37ECE"/>
    <w:rsid w:val="00F40051"/>
    <w:rsid w:val="00F402F3"/>
    <w:rsid w:val="00F4114A"/>
    <w:rsid w:val="00F41CCB"/>
    <w:rsid w:val="00F42312"/>
    <w:rsid w:val="00F430DC"/>
    <w:rsid w:val="00F4323C"/>
    <w:rsid w:val="00F43644"/>
    <w:rsid w:val="00F43B6A"/>
    <w:rsid w:val="00F44474"/>
    <w:rsid w:val="00F44723"/>
    <w:rsid w:val="00F450D1"/>
    <w:rsid w:val="00F45F9C"/>
    <w:rsid w:val="00F4633E"/>
    <w:rsid w:val="00F467DB"/>
    <w:rsid w:val="00F4727E"/>
    <w:rsid w:val="00F47C91"/>
    <w:rsid w:val="00F50B6E"/>
    <w:rsid w:val="00F51408"/>
    <w:rsid w:val="00F520FC"/>
    <w:rsid w:val="00F535F1"/>
    <w:rsid w:val="00F53721"/>
    <w:rsid w:val="00F5389B"/>
    <w:rsid w:val="00F53B0F"/>
    <w:rsid w:val="00F544C3"/>
    <w:rsid w:val="00F5604C"/>
    <w:rsid w:val="00F561B8"/>
    <w:rsid w:val="00F56B23"/>
    <w:rsid w:val="00F57043"/>
    <w:rsid w:val="00F57A79"/>
    <w:rsid w:val="00F57C9B"/>
    <w:rsid w:val="00F613C2"/>
    <w:rsid w:val="00F61994"/>
    <w:rsid w:val="00F61ECF"/>
    <w:rsid w:val="00F62F6E"/>
    <w:rsid w:val="00F632CD"/>
    <w:rsid w:val="00F63498"/>
    <w:rsid w:val="00F640E8"/>
    <w:rsid w:val="00F658FE"/>
    <w:rsid w:val="00F65CC3"/>
    <w:rsid w:val="00F66313"/>
    <w:rsid w:val="00F70AEC"/>
    <w:rsid w:val="00F70D90"/>
    <w:rsid w:val="00F71456"/>
    <w:rsid w:val="00F71626"/>
    <w:rsid w:val="00F7175D"/>
    <w:rsid w:val="00F718A4"/>
    <w:rsid w:val="00F72918"/>
    <w:rsid w:val="00F72BAA"/>
    <w:rsid w:val="00F73ADB"/>
    <w:rsid w:val="00F7406F"/>
    <w:rsid w:val="00F742AD"/>
    <w:rsid w:val="00F74AA2"/>
    <w:rsid w:val="00F75BAE"/>
    <w:rsid w:val="00F75EBB"/>
    <w:rsid w:val="00F76192"/>
    <w:rsid w:val="00F805E3"/>
    <w:rsid w:val="00F80CD6"/>
    <w:rsid w:val="00F811D2"/>
    <w:rsid w:val="00F82A5B"/>
    <w:rsid w:val="00F833AB"/>
    <w:rsid w:val="00F83634"/>
    <w:rsid w:val="00F837CC"/>
    <w:rsid w:val="00F838C1"/>
    <w:rsid w:val="00F85934"/>
    <w:rsid w:val="00F85C9D"/>
    <w:rsid w:val="00F86059"/>
    <w:rsid w:val="00F8658F"/>
    <w:rsid w:val="00F875BA"/>
    <w:rsid w:val="00F87662"/>
    <w:rsid w:val="00F9003C"/>
    <w:rsid w:val="00F9136F"/>
    <w:rsid w:val="00F92DB8"/>
    <w:rsid w:val="00F93645"/>
    <w:rsid w:val="00F94312"/>
    <w:rsid w:val="00F94A53"/>
    <w:rsid w:val="00F955CC"/>
    <w:rsid w:val="00F955E4"/>
    <w:rsid w:val="00F965B2"/>
    <w:rsid w:val="00F96668"/>
    <w:rsid w:val="00F973BD"/>
    <w:rsid w:val="00F97509"/>
    <w:rsid w:val="00FA04A1"/>
    <w:rsid w:val="00FA1654"/>
    <w:rsid w:val="00FA216D"/>
    <w:rsid w:val="00FA228D"/>
    <w:rsid w:val="00FA3F40"/>
    <w:rsid w:val="00FA4C35"/>
    <w:rsid w:val="00FA590F"/>
    <w:rsid w:val="00FA5B20"/>
    <w:rsid w:val="00FA63B0"/>
    <w:rsid w:val="00FA6603"/>
    <w:rsid w:val="00FA6745"/>
    <w:rsid w:val="00FA68FF"/>
    <w:rsid w:val="00FA7B45"/>
    <w:rsid w:val="00FB0436"/>
    <w:rsid w:val="00FB1B13"/>
    <w:rsid w:val="00FB1C9A"/>
    <w:rsid w:val="00FB27E6"/>
    <w:rsid w:val="00FB3533"/>
    <w:rsid w:val="00FB37B9"/>
    <w:rsid w:val="00FB3A32"/>
    <w:rsid w:val="00FB41AE"/>
    <w:rsid w:val="00FB48CE"/>
    <w:rsid w:val="00FB4923"/>
    <w:rsid w:val="00FB4B1C"/>
    <w:rsid w:val="00FB521C"/>
    <w:rsid w:val="00FB5A98"/>
    <w:rsid w:val="00FB6609"/>
    <w:rsid w:val="00FB6936"/>
    <w:rsid w:val="00FB796C"/>
    <w:rsid w:val="00FC000C"/>
    <w:rsid w:val="00FC0118"/>
    <w:rsid w:val="00FC0328"/>
    <w:rsid w:val="00FC0B2C"/>
    <w:rsid w:val="00FC2047"/>
    <w:rsid w:val="00FC31F9"/>
    <w:rsid w:val="00FC3DC6"/>
    <w:rsid w:val="00FC3DD6"/>
    <w:rsid w:val="00FC3DE2"/>
    <w:rsid w:val="00FC4028"/>
    <w:rsid w:val="00FC4826"/>
    <w:rsid w:val="00FC4A84"/>
    <w:rsid w:val="00FC6448"/>
    <w:rsid w:val="00FC660B"/>
    <w:rsid w:val="00FC69A3"/>
    <w:rsid w:val="00FC6D61"/>
    <w:rsid w:val="00FC74E9"/>
    <w:rsid w:val="00FC7FA8"/>
    <w:rsid w:val="00FD09C8"/>
    <w:rsid w:val="00FD09E4"/>
    <w:rsid w:val="00FD0CF9"/>
    <w:rsid w:val="00FD1377"/>
    <w:rsid w:val="00FD2618"/>
    <w:rsid w:val="00FD2E88"/>
    <w:rsid w:val="00FD444C"/>
    <w:rsid w:val="00FD543A"/>
    <w:rsid w:val="00FD585E"/>
    <w:rsid w:val="00FD63F8"/>
    <w:rsid w:val="00FD7109"/>
    <w:rsid w:val="00FD7802"/>
    <w:rsid w:val="00FE01AB"/>
    <w:rsid w:val="00FE024D"/>
    <w:rsid w:val="00FE0B81"/>
    <w:rsid w:val="00FE1528"/>
    <w:rsid w:val="00FE15F7"/>
    <w:rsid w:val="00FE2973"/>
    <w:rsid w:val="00FE2AA0"/>
    <w:rsid w:val="00FE36C4"/>
    <w:rsid w:val="00FE3AC0"/>
    <w:rsid w:val="00FE4C93"/>
    <w:rsid w:val="00FE5816"/>
    <w:rsid w:val="00FE6933"/>
    <w:rsid w:val="00FE7888"/>
    <w:rsid w:val="00FF0908"/>
    <w:rsid w:val="00FF0C62"/>
    <w:rsid w:val="00FF0E5E"/>
    <w:rsid w:val="00FF1126"/>
    <w:rsid w:val="00FF1575"/>
    <w:rsid w:val="00FF1C78"/>
    <w:rsid w:val="00FF268F"/>
    <w:rsid w:val="00FF2E6E"/>
    <w:rsid w:val="00FF373B"/>
    <w:rsid w:val="00FF3C25"/>
    <w:rsid w:val="00FF4221"/>
    <w:rsid w:val="00FF44D9"/>
    <w:rsid w:val="00FF4DAE"/>
    <w:rsid w:val="00FF67A6"/>
    <w:rsid w:val="00FF6B4F"/>
    <w:rsid w:val="00FF7527"/>
    <w:rsid w:val="00FF78A0"/>
    <w:rsid w:val="00FF7D2B"/>
    <w:rsid w:val="00FF7FA5"/>
    <w:rsid w:val="025316B3"/>
    <w:rsid w:val="08522339"/>
    <w:rsid w:val="0A7904B5"/>
    <w:rsid w:val="0B974E4D"/>
    <w:rsid w:val="0D0D6FE2"/>
    <w:rsid w:val="0E0F4E16"/>
    <w:rsid w:val="0FEE62BE"/>
    <w:rsid w:val="134E2150"/>
    <w:rsid w:val="14B20502"/>
    <w:rsid w:val="17421955"/>
    <w:rsid w:val="180E12B1"/>
    <w:rsid w:val="1D710693"/>
    <w:rsid w:val="1F774956"/>
    <w:rsid w:val="1F7F9D96"/>
    <w:rsid w:val="1FDFA6B7"/>
    <w:rsid w:val="1FF7719B"/>
    <w:rsid w:val="1FFB4A68"/>
    <w:rsid w:val="20163A7F"/>
    <w:rsid w:val="20590D18"/>
    <w:rsid w:val="21033A7C"/>
    <w:rsid w:val="21381F05"/>
    <w:rsid w:val="22807D66"/>
    <w:rsid w:val="22F16719"/>
    <w:rsid w:val="22FF39D5"/>
    <w:rsid w:val="26535A5E"/>
    <w:rsid w:val="27DF9D41"/>
    <w:rsid w:val="27F9B0F5"/>
    <w:rsid w:val="2AE77251"/>
    <w:rsid w:val="2CDFBE57"/>
    <w:rsid w:val="2D66680A"/>
    <w:rsid w:val="2DA422EF"/>
    <w:rsid w:val="2EBC5334"/>
    <w:rsid w:val="2EFF6E77"/>
    <w:rsid w:val="306F0FA2"/>
    <w:rsid w:val="319815A4"/>
    <w:rsid w:val="31B36B84"/>
    <w:rsid w:val="35984A4E"/>
    <w:rsid w:val="35FD94E6"/>
    <w:rsid w:val="37AF5AF5"/>
    <w:rsid w:val="37FF443F"/>
    <w:rsid w:val="3BEF1B93"/>
    <w:rsid w:val="3BFFFC46"/>
    <w:rsid w:val="3C4B3FBC"/>
    <w:rsid w:val="3DDB3EE2"/>
    <w:rsid w:val="3E856908"/>
    <w:rsid w:val="3E87749F"/>
    <w:rsid w:val="3EDF48C8"/>
    <w:rsid w:val="3FF368A5"/>
    <w:rsid w:val="3FFD38A5"/>
    <w:rsid w:val="3FFF07FE"/>
    <w:rsid w:val="4243299E"/>
    <w:rsid w:val="45067644"/>
    <w:rsid w:val="45DB0DF1"/>
    <w:rsid w:val="46D14A56"/>
    <w:rsid w:val="47FF6011"/>
    <w:rsid w:val="4B3845E8"/>
    <w:rsid w:val="4B8840BC"/>
    <w:rsid w:val="4BFF87A5"/>
    <w:rsid w:val="4C0A1DFC"/>
    <w:rsid w:val="51566D55"/>
    <w:rsid w:val="527F4D91"/>
    <w:rsid w:val="53ED8C2B"/>
    <w:rsid w:val="55F15214"/>
    <w:rsid w:val="56D47077"/>
    <w:rsid w:val="57217BEC"/>
    <w:rsid w:val="57376FDF"/>
    <w:rsid w:val="575A4BA9"/>
    <w:rsid w:val="59BD4143"/>
    <w:rsid w:val="5CC9AFD8"/>
    <w:rsid w:val="5D67D324"/>
    <w:rsid w:val="5D777D2C"/>
    <w:rsid w:val="5F0A6A6E"/>
    <w:rsid w:val="5FA039E9"/>
    <w:rsid w:val="5FFD1BB1"/>
    <w:rsid w:val="615E180F"/>
    <w:rsid w:val="639062E9"/>
    <w:rsid w:val="65DBDFF9"/>
    <w:rsid w:val="67D109A3"/>
    <w:rsid w:val="6A573CA7"/>
    <w:rsid w:val="6A5FBB73"/>
    <w:rsid w:val="6C975A3A"/>
    <w:rsid w:val="6DDE2D4A"/>
    <w:rsid w:val="6F7D02E7"/>
    <w:rsid w:val="6F7F758A"/>
    <w:rsid w:val="6FFF1D19"/>
    <w:rsid w:val="706248BE"/>
    <w:rsid w:val="71125085"/>
    <w:rsid w:val="71630A28"/>
    <w:rsid w:val="72253FC1"/>
    <w:rsid w:val="73730FAC"/>
    <w:rsid w:val="74FFC996"/>
    <w:rsid w:val="754F603F"/>
    <w:rsid w:val="75C36481"/>
    <w:rsid w:val="75DDECC2"/>
    <w:rsid w:val="767D571D"/>
    <w:rsid w:val="770C6004"/>
    <w:rsid w:val="775FC579"/>
    <w:rsid w:val="77D0417D"/>
    <w:rsid w:val="77E9E0FA"/>
    <w:rsid w:val="78FD9C81"/>
    <w:rsid w:val="79017458"/>
    <w:rsid w:val="7A76012D"/>
    <w:rsid w:val="7AF32342"/>
    <w:rsid w:val="7AFB2BF7"/>
    <w:rsid w:val="7BBFD951"/>
    <w:rsid w:val="7BDCCC66"/>
    <w:rsid w:val="7BEE1695"/>
    <w:rsid w:val="7BEF62EE"/>
    <w:rsid w:val="7BF88A57"/>
    <w:rsid w:val="7D3D4D8D"/>
    <w:rsid w:val="7D7DED56"/>
    <w:rsid w:val="7DA73656"/>
    <w:rsid w:val="7DA9A662"/>
    <w:rsid w:val="7DCF2E1B"/>
    <w:rsid w:val="7DDD97F3"/>
    <w:rsid w:val="7DEF28B5"/>
    <w:rsid w:val="7DFAD635"/>
    <w:rsid w:val="7DFD2657"/>
    <w:rsid w:val="7DFEAE1F"/>
    <w:rsid w:val="7DFF9E65"/>
    <w:rsid w:val="7F5DF2F0"/>
    <w:rsid w:val="7F7D046F"/>
    <w:rsid w:val="7F7F8FFC"/>
    <w:rsid w:val="7FBF4270"/>
    <w:rsid w:val="7FDDE757"/>
    <w:rsid w:val="7FF1910B"/>
    <w:rsid w:val="7FF6CD46"/>
    <w:rsid w:val="7FF79BE2"/>
    <w:rsid w:val="7FFE5E55"/>
    <w:rsid w:val="7FFF433F"/>
    <w:rsid w:val="87DFE064"/>
    <w:rsid w:val="997E08A0"/>
    <w:rsid w:val="9DFB5A3F"/>
    <w:rsid w:val="9DFE0E0D"/>
    <w:rsid w:val="A7BB4961"/>
    <w:rsid w:val="A9FECC88"/>
    <w:rsid w:val="ACFBC043"/>
    <w:rsid w:val="B0D37123"/>
    <w:rsid w:val="B6BF1D16"/>
    <w:rsid w:val="B76A3C9B"/>
    <w:rsid w:val="B7DF0D49"/>
    <w:rsid w:val="BA7B23C6"/>
    <w:rsid w:val="BA7F93A4"/>
    <w:rsid w:val="BCCFEE7A"/>
    <w:rsid w:val="BD7FFF12"/>
    <w:rsid w:val="BDBDD835"/>
    <w:rsid w:val="BDFBBBFF"/>
    <w:rsid w:val="BEA6D8D8"/>
    <w:rsid w:val="BF3F8DB6"/>
    <w:rsid w:val="BF7F1F93"/>
    <w:rsid w:val="BF8BC553"/>
    <w:rsid w:val="BFEE5A25"/>
    <w:rsid w:val="BFF6E84C"/>
    <w:rsid w:val="CAEA0B27"/>
    <w:rsid w:val="CFFEB424"/>
    <w:rsid w:val="D3D745B3"/>
    <w:rsid w:val="D6F7EDD2"/>
    <w:rsid w:val="DBBB51F4"/>
    <w:rsid w:val="DBDE61D1"/>
    <w:rsid w:val="DECB45F7"/>
    <w:rsid w:val="DF7B98C1"/>
    <w:rsid w:val="E2FB3BCD"/>
    <w:rsid w:val="E3BC83CF"/>
    <w:rsid w:val="E3F7E327"/>
    <w:rsid w:val="E5DFA10D"/>
    <w:rsid w:val="E9B91670"/>
    <w:rsid w:val="EB7F9B3B"/>
    <w:rsid w:val="EDB268F7"/>
    <w:rsid w:val="EDF776CD"/>
    <w:rsid w:val="EDFF021B"/>
    <w:rsid w:val="EF794881"/>
    <w:rsid w:val="EFF61D24"/>
    <w:rsid w:val="EFFFF017"/>
    <w:rsid w:val="F2BEFF13"/>
    <w:rsid w:val="F2C7C908"/>
    <w:rsid w:val="F3FF1488"/>
    <w:rsid w:val="F4FBE7A2"/>
    <w:rsid w:val="F56E2880"/>
    <w:rsid w:val="F7691DF1"/>
    <w:rsid w:val="F7F7D44D"/>
    <w:rsid w:val="F7FA3E28"/>
    <w:rsid w:val="F7FD60A7"/>
    <w:rsid w:val="F9FB7DF7"/>
    <w:rsid w:val="F9FF5275"/>
    <w:rsid w:val="FACBD3D4"/>
    <w:rsid w:val="FAFED8DA"/>
    <w:rsid w:val="FB4F4691"/>
    <w:rsid w:val="FB920B9F"/>
    <w:rsid w:val="FBDC4763"/>
    <w:rsid w:val="FBFFA1A6"/>
    <w:rsid w:val="FD75D236"/>
    <w:rsid w:val="FDE4938D"/>
    <w:rsid w:val="FDEDE0DB"/>
    <w:rsid w:val="FDFB5981"/>
    <w:rsid w:val="FE3D9DC9"/>
    <w:rsid w:val="FEBD1A05"/>
    <w:rsid w:val="FECBA53B"/>
    <w:rsid w:val="FEFFBBB5"/>
    <w:rsid w:val="FF99A1A2"/>
    <w:rsid w:val="FFEF049A"/>
    <w:rsid w:val="FFF7A519"/>
    <w:rsid w:val="FFF9B673"/>
    <w:rsid w:val="FFF9DC46"/>
    <w:rsid w:val="FFFEFCEA"/>
    <w:rsid w:val="FFFF60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35"/>
    <w:qFormat/>
    <w:locked/>
    <w:uiPriority w:val="0"/>
    <w:pPr>
      <w:ind w:firstLine="0" w:firstLineChars="0"/>
      <w:jc w:val="center"/>
      <w:outlineLvl w:val="0"/>
    </w:pPr>
    <w:rPr>
      <w:rFonts w:eastAsia="方正小标宋简体"/>
      <w:bCs/>
      <w:kern w:val="44"/>
      <w:sz w:val="36"/>
      <w:szCs w:val="44"/>
    </w:rPr>
  </w:style>
  <w:style w:type="paragraph" w:styleId="4">
    <w:name w:val="heading 2"/>
    <w:basedOn w:val="1"/>
    <w:next w:val="1"/>
    <w:link w:val="36"/>
    <w:unhideWhenUsed/>
    <w:qFormat/>
    <w:locked/>
    <w:uiPriority w:val="0"/>
    <w:pPr>
      <w:ind w:firstLine="0" w:firstLineChars="0"/>
      <w:jc w:val="center"/>
      <w:outlineLvl w:val="1"/>
    </w:pPr>
    <w:rPr>
      <w:rFonts w:eastAsia="方正黑体_GBK" w:asciiTheme="majorHAnsi" w:hAnsiTheme="majorHAnsi" w:cstheme="majorBidi"/>
      <w:bCs/>
      <w:szCs w:val="32"/>
    </w:rPr>
  </w:style>
  <w:style w:type="paragraph" w:styleId="5">
    <w:name w:val="heading 3"/>
    <w:basedOn w:val="1"/>
    <w:next w:val="1"/>
    <w:link w:val="34"/>
    <w:qFormat/>
    <w:uiPriority w:val="9"/>
    <w:pPr>
      <w:ind w:firstLine="0" w:firstLineChars="0"/>
      <w:jc w:val="center"/>
      <w:outlineLvl w:val="2"/>
    </w:pPr>
    <w:rPr>
      <w:rFonts w:ascii="方正黑体_GBK" w:eastAsia="方正楷体_GBK"/>
      <w:szCs w:val="22"/>
    </w:rPr>
  </w:style>
  <w:style w:type="paragraph" w:styleId="6">
    <w:name w:val="heading 4"/>
    <w:basedOn w:val="1"/>
    <w:next w:val="1"/>
    <w:link w:val="37"/>
    <w:unhideWhenUsed/>
    <w:qFormat/>
    <w:locked/>
    <w:uiPriority w:val="0"/>
    <w:pPr>
      <w:ind w:firstLine="640"/>
      <w:outlineLvl w:val="3"/>
    </w:pPr>
    <w:rPr>
      <w:rFonts w:ascii="方正楷体_GBK" w:eastAsia="方正楷体_GBK"/>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6" w:lineRule="exact"/>
      <w:ind w:firstLine="640" w:firstLineChars="200"/>
      <w:jc w:val="both"/>
    </w:pPr>
    <w:rPr>
      <w:rFonts w:ascii="仿宋" w:hAnsi="仿宋" w:eastAsia="仿宋" w:cs="仿宋"/>
      <w:bCs/>
      <w:color w:val="FF0000"/>
      <w:sz w:val="32"/>
      <w:szCs w:val="32"/>
      <w:lang w:val="en-US" w:eastAsia="zh-CN" w:bidi="ar-SA"/>
    </w:rPr>
  </w:style>
  <w:style w:type="paragraph" w:styleId="7">
    <w:name w:val="toc 7"/>
    <w:basedOn w:val="1"/>
    <w:next w:val="1"/>
    <w:unhideWhenUsed/>
    <w:qFormat/>
    <w:locked/>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8">
    <w:name w:val="annotation text"/>
    <w:basedOn w:val="1"/>
    <w:link w:val="38"/>
    <w:unhideWhenUsed/>
    <w:qFormat/>
    <w:uiPriority w:val="99"/>
    <w:pPr>
      <w:jc w:val="left"/>
    </w:pPr>
  </w:style>
  <w:style w:type="paragraph" w:styleId="9">
    <w:name w:val="Body Text Indent"/>
    <w:basedOn w:val="1"/>
    <w:link w:val="39"/>
    <w:qFormat/>
    <w:uiPriority w:val="99"/>
    <w:pPr>
      <w:spacing w:after="120"/>
      <w:ind w:left="420" w:leftChars="200"/>
    </w:pPr>
  </w:style>
  <w:style w:type="paragraph" w:styleId="10">
    <w:name w:val="toc 5"/>
    <w:basedOn w:val="1"/>
    <w:next w:val="1"/>
    <w:unhideWhenUsed/>
    <w:qFormat/>
    <w:locked/>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1">
    <w:name w:val="toc 3"/>
    <w:basedOn w:val="1"/>
    <w:next w:val="1"/>
    <w:unhideWhenUsed/>
    <w:qFormat/>
    <w:locked/>
    <w:uiPriority w:val="39"/>
    <w:pPr>
      <w:ind w:left="840" w:leftChars="400"/>
    </w:pPr>
  </w:style>
  <w:style w:type="paragraph" w:styleId="12">
    <w:name w:val="toc 8"/>
    <w:basedOn w:val="1"/>
    <w:next w:val="1"/>
    <w:unhideWhenUsed/>
    <w:qFormat/>
    <w:locked/>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3">
    <w:name w:val="Balloon Text"/>
    <w:basedOn w:val="1"/>
    <w:link w:val="40"/>
    <w:semiHidden/>
    <w:unhideWhenUsed/>
    <w:qFormat/>
    <w:uiPriority w:val="99"/>
    <w:rPr>
      <w:sz w:val="18"/>
      <w:szCs w:val="18"/>
    </w:rPr>
  </w:style>
  <w:style w:type="paragraph" w:styleId="14">
    <w:name w:val="footer"/>
    <w:basedOn w:val="1"/>
    <w:link w:val="41"/>
    <w:qFormat/>
    <w:uiPriority w:val="99"/>
    <w:pPr>
      <w:tabs>
        <w:tab w:val="center" w:pos="4153"/>
        <w:tab w:val="right" w:pos="8306"/>
      </w:tabs>
      <w:snapToGrid w:val="0"/>
      <w:jc w:val="left"/>
    </w:pPr>
    <w:rPr>
      <w:sz w:val="18"/>
    </w:rPr>
  </w:style>
  <w:style w:type="paragraph" w:styleId="15">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unhideWhenUsed/>
    <w:qFormat/>
    <w:locked/>
    <w:uiPriority w:val="39"/>
    <w:pPr>
      <w:tabs>
        <w:tab w:val="right" w:leader="dot" w:pos="8834"/>
      </w:tabs>
      <w:spacing w:line="240" w:lineRule="auto"/>
      <w:ind w:firstLine="562"/>
    </w:pPr>
    <w:rPr>
      <w:b/>
      <w:sz w:val="28"/>
      <w:szCs w:val="28"/>
    </w:rPr>
  </w:style>
  <w:style w:type="paragraph" w:styleId="17">
    <w:name w:val="toc 4"/>
    <w:basedOn w:val="1"/>
    <w:next w:val="1"/>
    <w:unhideWhenUsed/>
    <w:qFormat/>
    <w:locked/>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8">
    <w:name w:val="toc 6"/>
    <w:basedOn w:val="1"/>
    <w:next w:val="1"/>
    <w:unhideWhenUsed/>
    <w:qFormat/>
    <w:locked/>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9">
    <w:name w:val="index 7"/>
    <w:basedOn w:val="1"/>
    <w:next w:val="1"/>
    <w:qFormat/>
    <w:uiPriority w:val="99"/>
    <w:pPr>
      <w:ind w:left="2520"/>
    </w:pPr>
  </w:style>
  <w:style w:type="paragraph" w:styleId="20">
    <w:name w:val="toc 2"/>
    <w:basedOn w:val="1"/>
    <w:next w:val="1"/>
    <w:unhideWhenUsed/>
    <w:qFormat/>
    <w:locked/>
    <w:uiPriority w:val="39"/>
    <w:pPr>
      <w:ind w:left="420" w:leftChars="200"/>
    </w:pPr>
  </w:style>
  <w:style w:type="paragraph" w:styleId="21">
    <w:name w:val="toc 9"/>
    <w:basedOn w:val="1"/>
    <w:next w:val="1"/>
    <w:unhideWhenUsed/>
    <w:qFormat/>
    <w:locked/>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2">
    <w:name w:val="Normal (Web)"/>
    <w:basedOn w:val="1"/>
    <w:next w:val="1"/>
    <w:qFormat/>
    <w:uiPriority w:val="99"/>
    <w:pPr>
      <w:spacing w:before="100" w:beforeAutospacing="1" w:after="100" w:afterAutospacing="1"/>
      <w:jc w:val="left"/>
    </w:pPr>
    <w:rPr>
      <w:kern w:val="0"/>
      <w:sz w:val="24"/>
    </w:rPr>
  </w:style>
  <w:style w:type="paragraph" w:styleId="23">
    <w:name w:val="Title"/>
    <w:basedOn w:val="1"/>
    <w:next w:val="1"/>
    <w:link w:val="42"/>
    <w:qFormat/>
    <w:locked/>
    <w:uiPriority w:val="0"/>
    <w:pPr>
      <w:spacing w:before="240" w:after="60"/>
      <w:jc w:val="center"/>
      <w:outlineLvl w:val="0"/>
    </w:pPr>
    <w:rPr>
      <w:rFonts w:asciiTheme="majorHAnsi" w:hAnsiTheme="majorHAnsi" w:eastAsiaTheme="majorEastAsia" w:cstheme="majorBidi"/>
      <w:b/>
      <w:bCs/>
      <w:szCs w:val="32"/>
    </w:rPr>
  </w:style>
  <w:style w:type="paragraph" w:styleId="24">
    <w:name w:val="annotation subject"/>
    <w:basedOn w:val="8"/>
    <w:next w:val="8"/>
    <w:link w:val="43"/>
    <w:semiHidden/>
    <w:unhideWhenUsed/>
    <w:qFormat/>
    <w:uiPriority w:val="99"/>
    <w:rPr>
      <w:b/>
      <w:bCs/>
    </w:rPr>
  </w:style>
  <w:style w:type="paragraph" w:styleId="25">
    <w:name w:val="Body Text First Indent 2"/>
    <w:basedOn w:val="9"/>
    <w:next w:val="1"/>
    <w:link w:val="44"/>
    <w:qFormat/>
    <w:uiPriority w:val="99"/>
    <w:pPr>
      <w:ind w:firstLine="420"/>
    </w:p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22"/>
    <w:rPr>
      <w:rFonts w:cs="Times New Roman"/>
      <w:b/>
      <w:bCs/>
    </w:rPr>
  </w:style>
  <w:style w:type="character" w:styleId="30">
    <w:name w:val="page number"/>
    <w:basedOn w:val="28"/>
    <w:qFormat/>
    <w:uiPriority w:val="99"/>
    <w:rPr>
      <w:rFonts w:cs="Times New Roman"/>
    </w:rPr>
  </w:style>
  <w:style w:type="character" w:styleId="31">
    <w:name w:val="Emphasis"/>
    <w:basedOn w:val="28"/>
    <w:qFormat/>
    <w:locked/>
    <w:uiPriority w:val="0"/>
    <w:rPr>
      <w:i/>
      <w:iCs/>
    </w:rPr>
  </w:style>
  <w:style w:type="character" w:styleId="32">
    <w:name w:val="Hyperlink"/>
    <w:basedOn w:val="28"/>
    <w:unhideWhenUsed/>
    <w:qFormat/>
    <w:uiPriority w:val="99"/>
    <w:rPr>
      <w:color w:val="0000FF" w:themeColor="hyperlink"/>
      <w:u w:val="single"/>
      <w14:textFill>
        <w14:solidFill>
          <w14:schemeClr w14:val="hlink"/>
        </w14:solidFill>
      </w14:textFill>
    </w:rPr>
  </w:style>
  <w:style w:type="character" w:styleId="33">
    <w:name w:val="annotation reference"/>
    <w:basedOn w:val="28"/>
    <w:semiHidden/>
    <w:unhideWhenUsed/>
    <w:qFormat/>
    <w:uiPriority w:val="99"/>
    <w:rPr>
      <w:sz w:val="21"/>
      <w:szCs w:val="21"/>
    </w:rPr>
  </w:style>
  <w:style w:type="character" w:customStyle="1" w:styleId="34">
    <w:name w:val="标题 3 Char"/>
    <w:basedOn w:val="28"/>
    <w:link w:val="5"/>
    <w:qFormat/>
    <w:locked/>
    <w:uiPriority w:val="9"/>
    <w:rPr>
      <w:rFonts w:ascii="方正黑体_GBK" w:hAnsi="Times New Roman" w:eastAsia="方正楷体_GBK"/>
      <w:kern w:val="2"/>
      <w:sz w:val="32"/>
      <w:szCs w:val="22"/>
    </w:rPr>
  </w:style>
  <w:style w:type="character" w:customStyle="1" w:styleId="35">
    <w:name w:val="标题 1 Char"/>
    <w:basedOn w:val="28"/>
    <w:link w:val="3"/>
    <w:qFormat/>
    <w:uiPriority w:val="0"/>
    <w:rPr>
      <w:rFonts w:ascii="Times New Roman" w:hAnsi="Times New Roman" w:eastAsia="方正小标宋简体"/>
      <w:bCs/>
      <w:kern w:val="44"/>
      <w:sz w:val="36"/>
      <w:szCs w:val="44"/>
    </w:rPr>
  </w:style>
  <w:style w:type="character" w:customStyle="1" w:styleId="36">
    <w:name w:val="标题 2 Char"/>
    <w:basedOn w:val="28"/>
    <w:link w:val="4"/>
    <w:qFormat/>
    <w:uiPriority w:val="0"/>
    <w:rPr>
      <w:rFonts w:eastAsia="方正黑体_GBK" w:asciiTheme="majorHAnsi" w:hAnsiTheme="majorHAnsi" w:cstheme="majorBidi"/>
      <w:bCs/>
      <w:kern w:val="2"/>
      <w:sz w:val="32"/>
      <w:szCs w:val="32"/>
    </w:rPr>
  </w:style>
  <w:style w:type="character" w:customStyle="1" w:styleId="37">
    <w:name w:val="标题 4 Char"/>
    <w:basedOn w:val="28"/>
    <w:link w:val="6"/>
    <w:qFormat/>
    <w:uiPriority w:val="0"/>
    <w:rPr>
      <w:rFonts w:ascii="方正楷体_GBK" w:hAnsi="Times New Roman" w:eastAsia="方正楷体_GBK"/>
      <w:kern w:val="2"/>
      <w:sz w:val="32"/>
      <w:szCs w:val="32"/>
    </w:rPr>
  </w:style>
  <w:style w:type="character" w:customStyle="1" w:styleId="38">
    <w:name w:val="批注文字 Char"/>
    <w:basedOn w:val="28"/>
    <w:link w:val="8"/>
    <w:qFormat/>
    <w:uiPriority w:val="99"/>
    <w:rPr>
      <w:rFonts w:ascii="Times New Roman" w:hAnsi="Times New Roman" w:eastAsia="方正仿宋_GBK"/>
      <w:kern w:val="2"/>
      <w:sz w:val="32"/>
      <w:szCs w:val="24"/>
    </w:rPr>
  </w:style>
  <w:style w:type="character" w:customStyle="1" w:styleId="39">
    <w:name w:val="正文文本缩进 Char"/>
    <w:basedOn w:val="28"/>
    <w:link w:val="9"/>
    <w:semiHidden/>
    <w:qFormat/>
    <w:locked/>
    <w:uiPriority w:val="99"/>
    <w:rPr>
      <w:rFonts w:cs="Times New Roman"/>
      <w:sz w:val="24"/>
      <w:szCs w:val="24"/>
    </w:rPr>
  </w:style>
  <w:style w:type="character" w:customStyle="1" w:styleId="40">
    <w:name w:val="批注框文本 Char"/>
    <w:basedOn w:val="28"/>
    <w:link w:val="13"/>
    <w:semiHidden/>
    <w:qFormat/>
    <w:uiPriority w:val="99"/>
    <w:rPr>
      <w:kern w:val="2"/>
      <w:sz w:val="18"/>
      <w:szCs w:val="18"/>
    </w:rPr>
  </w:style>
  <w:style w:type="character" w:customStyle="1" w:styleId="41">
    <w:name w:val="页脚 Char"/>
    <w:basedOn w:val="28"/>
    <w:link w:val="14"/>
    <w:qFormat/>
    <w:locked/>
    <w:uiPriority w:val="99"/>
    <w:rPr>
      <w:rFonts w:cs="Times New Roman"/>
      <w:sz w:val="18"/>
      <w:szCs w:val="18"/>
    </w:rPr>
  </w:style>
  <w:style w:type="character" w:customStyle="1" w:styleId="42">
    <w:name w:val="标题 Char"/>
    <w:basedOn w:val="28"/>
    <w:link w:val="23"/>
    <w:qFormat/>
    <w:uiPriority w:val="0"/>
    <w:rPr>
      <w:rFonts w:asciiTheme="majorHAnsi" w:hAnsiTheme="majorHAnsi" w:eastAsiaTheme="majorEastAsia" w:cstheme="majorBidi"/>
      <w:b/>
      <w:bCs/>
      <w:kern w:val="2"/>
      <w:sz w:val="32"/>
      <w:szCs w:val="32"/>
    </w:rPr>
  </w:style>
  <w:style w:type="character" w:customStyle="1" w:styleId="43">
    <w:name w:val="批注主题 Char"/>
    <w:basedOn w:val="38"/>
    <w:link w:val="24"/>
    <w:semiHidden/>
    <w:qFormat/>
    <w:uiPriority w:val="99"/>
    <w:rPr>
      <w:rFonts w:ascii="Times New Roman" w:hAnsi="Times New Roman" w:eastAsia="方正仿宋_GBK"/>
      <w:b/>
      <w:bCs/>
      <w:kern w:val="2"/>
      <w:sz w:val="32"/>
      <w:szCs w:val="24"/>
    </w:rPr>
  </w:style>
  <w:style w:type="character" w:customStyle="1" w:styleId="44">
    <w:name w:val="正文首行缩进 2 Char"/>
    <w:basedOn w:val="39"/>
    <w:link w:val="25"/>
    <w:semiHidden/>
    <w:qFormat/>
    <w:locked/>
    <w:uiPriority w:val="99"/>
    <w:rPr>
      <w:rFonts w:cs="Times New Roman"/>
      <w:sz w:val="24"/>
      <w:szCs w:val="24"/>
    </w:rPr>
  </w:style>
  <w:style w:type="paragraph" w:customStyle="1" w:styleId="45">
    <w:name w:val="Char Char Char Char Char Char Char Char Char Char Char Char Char Char Char"/>
    <w:basedOn w:val="1"/>
    <w:qFormat/>
    <w:uiPriority w:val="0"/>
    <w:rPr>
      <w:rFonts w:ascii="Arial" w:hAnsi="Arial" w:cs="Arial"/>
      <w:sz w:val="20"/>
      <w:szCs w:val="20"/>
    </w:rPr>
  </w:style>
  <w:style w:type="paragraph" w:styleId="46">
    <w:name w:val="List Paragraph"/>
    <w:basedOn w:val="1"/>
    <w:qFormat/>
    <w:uiPriority w:val="99"/>
    <w:pPr>
      <w:ind w:firstLine="420"/>
    </w:pPr>
  </w:style>
  <w:style w:type="paragraph" w:customStyle="1" w:styleId="47">
    <w:name w:val="TOC 标题1"/>
    <w:basedOn w:val="3"/>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48">
    <w:name w:val="表文字 字符"/>
    <w:link w:val="49"/>
    <w:qFormat/>
    <w:uiPriority w:val="5"/>
    <w:rPr>
      <w:rFonts w:ascii="仿宋" w:hAnsi="仿宋" w:eastAsia="仿宋"/>
      <w:sz w:val="21"/>
      <w:szCs w:val="21"/>
    </w:rPr>
  </w:style>
  <w:style w:type="paragraph" w:customStyle="1" w:styleId="49">
    <w:name w:val="表文字"/>
    <w:link w:val="48"/>
    <w:qFormat/>
    <w:uiPriority w:val="5"/>
    <w:pPr>
      <w:widowControl w:val="0"/>
      <w:jc w:val="center"/>
    </w:pPr>
    <w:rPr>
      <w:rFonts w:ascii="仿宋" w:hAnsi="仿宋" w:eastAsia="仿宋" w:cs="Times New Roman"/>
      <w:sz w:val="21"/>
      <w:szCs w:val="21"/>
      <w:lang w:val="en-US" w:eastAsia="zh-CN" w:bidi="ar-SA"/>
    </w:rPr>
  </w:style>
  <w:style w:type="paragraph" w:customStyle="1" w:styleId="50">
    <w:name w:val="条文正文 达州"/>
    <w:link w:val="51"/>
    <w:qFormat/>
    <w:uiPriority w:val="4"/>
    <w:pPr>
      <w:spacing w:line="360" w:lineRule="auto"/>
      <w:ind w:firstLine="560" w:firstLineChars="200"/>
      <w:jc w:val="both"/>
    </w:pPr>
    <w:rPr>
      <w:rFonts w:ascii="仿宋" w:hAnsi="仿宋" w:eastAsia="仿宋" w:cs="Times New Roman"/>
      <w:sz w:val="28"/>
      <w:szCs w:val="24"/>
      <w:lang w:val="en-US" w:eastAsia="zh-CN" w:bidi="ar-SA"/>
    </w:rPr>
  </w:style>
  <w:style w:type="character" w:customStyle="1" w:styleId="51">
    <w:name w:val="条文正文 达州 字符"/>
    <w:link w:val="50"/>
    <w:qFormat/>
    <w:uiPriority w:val="4"/>
    <w:rPr>
      <w:rFonts w:ascii="仿宋" w:hAnsi="仿宋" w:eastAsia="仿宋"/>
      <w:sz w:val="28"/>
      <w:szCs w:val="24"/>
    </w:rPr>
  </w:style>
  <w:style w:type="table" w:customStyle="1" w:styleId="52">
    <w:name w:val="网格型1"/>
    <w:basedOn w:val="2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2"/>
    <w:basedOn w:val="2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未处理的提及1"/>
    <w:basedOn w:val="28"/>
    <w:semiHidden/>
    <w:unhideWhenUsed/>
    <w:qFormat/>
    <w:uiPriority w:val="99"/>
    <w:rPr>
      <w:color w:val="605E5C"/>
      <w:shd w:val="clear" w:color="auto" w:fill="E1DFDD"/>
    </w:rPr>
  </w:style>
  <w:style w:type="character" w:customStyle="1" w:styleId="55">
    <w:name w:val="未处理的提及2"/>
    <w:basedOn w:val="28"/>
    <w:semiHidden/>
    <w:unhideWhenUsed/>
    <w:qFormat/>
    <w:uiPriority w:val="99"/>
    <w:rPr>
      <w:color w:val="605E5C"/>
      <w:shd w:val="clear" w:color="auto" w:fill="E1DFDD"/>
    </w:rPr>
  </w:style>
  <w:style w:type="table" w:customStyle="1" w:styleId="56">
    <w:name w:val="网格型3"/>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11"/>
    <w:basedOn w:val="2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网格型4"/>
    <w:basedOn w:val="2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未处理的提及3"/>
    <w:basedOn w:val="28"/>
    <w:semiHidden/>
    <w:unhideWhenUsed/>
    <w:qFormat/>
    <w:uiPriority w:val="99"/>
    <w:rPr>
      <w:color w:val="605E5C"/>
      <w:shd w:val="clear" w:color="auto" w:fill="E1DFDD"/>
    </w:rPr>
  </w:style>
  <w:style w:type="paragraph" w:customStyle="1" w:styleId="60">
    <w:name w:val="修订1"/>
    <w:hidden/>
    <w:semiHidden/>
    <w:qFormat/>
    <w:uiPriority w:val="99"/>
    <w:rPr>
      <w:rFonts w:ascii="Times New Roman" w:hAnsi="Times New Roman" w:eastAsia="方正仿宋_GBK" w:cs="Times New Roman"/>
      <w:kern w:val="2"/>
      <w:sz w:val="32"/>
      <w:szCs w:val="24"/>
      <w:lang w:val="en-US" w:eastAsia="zh-CN" w:bidi="ar-SA"/>
    </w:rPr>
  </w:style>
  <w:style w:type="paragraph" w:customStyle="1" w:styleId="61">
    <w:name w:val="TOC Heading"/>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8448</Words>
  <Characters>48155</Characters>
  <Lines>401</Lines>
  <Paragraphs>112</Paragraphs>
  <TotalTime>37</TotalTime>
  <ScaleCrop>false</ScaleCrop>
  <LinksUpToDate>false</LinksUpToDate>
  <CharactersWithSpaces>56491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2020-11-19T01:34:00Z</dcterms:created>
  <dc:creator>yang</dc:creator>
  <cp:lastModifiedBy>user</cp:lastModifiedBy>
  <dcterms:modified xsi:type="dcterms:W3CDTF">2021-06-16T16:25:57Z</dcterms:modified>
  <dc:title>达州市“十三五”农业农村工作进展情况及</dc:title>
  <cp:revision>2072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112E681127424A63AE145F85996B24A5</vt:lpwstr>
  </property>
  <property fmtid="{D5CDD505-2E9C-101B-9397-08002B2CF9AE}" pid="4" name="KSOSaveFontToCloudKey">
    <vt:lpwstr>0_embed</vt:lpwstr>
  </property>
</Properties>
</file>